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82ADF1" w14:textId="51A2A0AB" w:rsidR="006E0747" w:rsidRPr="00FC1C0B" w:rsidRDefault="0058396C" w:rsidP="006E0747">
      <w:pPr>
        <w:spacing w:after="120"/>
        <w:rPr>
          <w:rFonts w:cstheme="minorHAnsi"/>
          <w:u w:val="single"/>
        </w:rPr>
      </w:pPr>
      <w:r>
        <w:rPr>
          <w:rFonts w:cstheme="minorHAnsi"/>
          <w:b/>
          <w:bCs/>
          <w:u w:val="single"/>
        </w:rPr>
        <w:t xml:space="preserve">WORKSTREAM </w:t>
      </w:r>
      <w:r w:rsidR="00E72A63">
        <w:rPr>
          <w:rFonts w:cstheme="minorHAnsi"/>
          <w:b/>
          <w:bCs/>
          <w:u w:val="single"/>
        </w:rPr>
        <w:t xml:space="preserve">1 </w:t>
      </w:r>
      <w:r w:rsidR="00BE0DC3">
        <w:rPr>
          <w:rFonts w:cstheme="minorHAnsi"/>
          <w:b/>
          <w:bCs/>
          <w:u w:val="single"/>
        </w:rPr>
        <w:t>CHARTER</w:t>
      </w:r>
      <w:r w:rsidR="00E72A63">
        <w:rPr>
          <w:rFonts w:cstheme="minorHAnsi"/>
          <w:b/>
          <w:bCs/>
          <w:u w:val="single"/>
        </w:rPr>
        <w:t>:</w:t>
      </w:r>
      <w:r w:rsidR="00724BA3" w:rsidRPr="00FC1C0B">
        <w:rPr>
          <w:rFonts w:cstheme="minorHAnsi"/>
          <w:u w:val="single"/>
        </w:rPr>
        <w:t xml:space="preserve"> </w:t>
      </w:r>
      <w:r w:rsidR="00BB005A">
        <w:rPr>
          <w:rFonts w:cstheme="minorHAnsi"/>
          <w:u w:val="single"/>
        </w:rPr>
        <w:t>Food Environments</w:t>
      </w:r>
      <w:r w:rsidR="002A2D02" w:rsidRPr="00787C65">
        <w:rPr>
          <w:rFonts w:cstheme="minorHAnsi"/>
          <w:u w:val="single"/>
        </w:rPr>
        <w:t>.</w:t>
      </w:r>
      <w:r w:rsidR="002A2D02">
        <w:rPr>
          <w:rFonts w:cstheme="minorHAnsi"/>
          <w:u w:val="single"/>
        </w:rPr>
        <w:t xml:space="preserve"> </w:t>
      </w:r>
    </w:p>
    <w:p w14:paraId="2581CCAD" w14:textId="77777777" w:rsidR="00F37E40" w:rsidRDefault="00F37E40" w:rsidP="000249A1">
      <w:pPr>
        <w:rPr>
          <w:rFonts w:eastAsia="Times New Roman" w:cstheme="minorHAnsi"/>
          <w:b/>
          <w:bCs/>
          <w:color w:val="222222"/>
          <w:lang w:eastAsia="en-GB"/>
        </w:rPr>
      </w:pPr>
    </w:p>
    <w:p w14:paraId="10E63092" w14:textId="6F2625B7" w:rsidR="00724BA3" w:rsidRPr="00724BA3" w:rsidRDefault="00724BA3" w:rsidP="000249A1">
      <w:pPr>
        <w:rPr>
          <w:rFonts w:eastAsia="Times New Roman" w:cstheme="minorHAnsi"/>
          <w:b/>
          <w:bCs/>
          <w:color w:val="222222"/>
          <w:lang w:eastAsia="en-GB"/>
        </w:rPr>
      </w:pPr>
      <w:r w:rsidRPr="00724BA3">
        <w:rPr>
          <w:rFonts w:eastAsia="Times New Roman" w:cstheme="minorHAnsi"/>
          <w:b/>
          <w:bCs/>
          <w:color w:val="222222"/>
          <w:lang w:eastAsia="en-GB"/>
        </w:rPr>
        <w:t>Summary</w:t>
      </w:r>
    </w:p>
    <w:p w14:paraId="02038F92" w14:textId="23B1AA8A" w:rsidR="007C26D2" w:rsidRDefault="00FC1C0B" w:rsidP="000249A1">
      <w:r>
        <w:rPr>
          <w:rFonts w:eastAsia="Times New Roman" w:cstheme="minorHAnsi"/>
          <w:color w:val="222222"/>
          <w:lang w:eastAsia="en-GB"/>
        </w:rPr>
        <w:t>A</w:t>
      </w:r>
      <w:r w:rsidR="00724BA3">
        <w:rPr>
          <w:rFonts w:eastAsia="Times New Roman" w:cstheme="minorHAnsi"/>
          <w:color w:val="222222"/>
          <w:lang w:eastAsia="en-GB"/>
        </w:rPr>
        <w:t xml:space="preserve"> shift towards healthy and sustainable </w:t>
      </w:r>
      <w:r>
        <w:rPr>
          <w:rFonts w:eastAsia="Times New Roman" w:cstheme="minorHAnsi"/>
          <w:color w:val="222222"/>
          <w:lang w:eastAsia="en-GB"/>
        </w:rPr>
        <w:t xml:space="preserve">food </w:t>
      </w:r>
      <w:r w:rsidR="00724BA3">
        <w:rPr>
          <w:rFonts w:eastAsia="Times New Roman" w:cstheme="minorHAnsi"/>
          <w:color w:val="222222"/>
          <w:lang w:eastAsia="en-GB"/>
        </w:rPr>
        <w:t xml:space="preserve">consumption </w:t>
      </w:r>
      <w:r>
        <w:rPr>
          <w:rFonts w:eastAsia="Times New Roman" w:cstheme="minorHAnsi"/>
          <w:color w:val="222222"/>
          <w:lang w:eastAsia="en-GB"/>
        </w:rPr>
        <w:t xml:space="preserve">habits </w:t>
      </w:r>
      <w:r w:rsidR="00724BA3">
        <w:rPr>
          <w:rFonts w:eastAsia="Times New Roman" w:cstheme="minorHAnsi"/>
          <w:color w:val="222222"/>
          <w:lang w:eastAsia="en-GB"/>
        </w:rPr>
        <w:t xml:space="preserve">depends on increased consumer demand for </w:t>
      </w:r>
      <w:r w:rsidR="007C26D2">
        <w:t xml:space="preserve">foods that are </w:t>
      </w:r>
      <w:r w:rsidR="006F71AE">
        <w:t xml:space="preserve">most </w:t>
      </w:r>
      <w:r w:rsidR="007C26D2">
        <w:t xml:space="preserve">compatible with healthy and sustainable dietary patterns, while </w:t>
      </w:r>
      <w:r w:rsidR="006F71AE">
        <w:t xml:space="preserve">reducing </w:t>
      </w:r>
      <w:r w:rsidR="007C26D2">
        <w:t>those which are not</w:t>
      </w:r>
      <w:r w:rsidR="00724BA3">
        <w:t xml:space="preserve">. This charter </w:t>
      </w:r>
      <w:r>
        <w:t xml:space="preserve">outlines the scope of workstream </w:t>
      </w:r>
      <w:r w:rsidR="00646F5B">
        <w:t>1</w:t>
      </w:r>
      <w:r w:rsidR="002B5671">
        <w:t xml:space="preserve"> in driving the shift towards healthy and sustainable consumption patterns</w:t>
      </w:r>
      <w:r>
        <w:t>.</w:t>
      </w:r>
      <w:r w:rsidR="00137552">
        <w:t xml:space="preserve">  </w:t>
      </w:r>
      <w:r w:rsidR="00867FD4">
        <w:t xml:space="preserve">There will inevitably be areas where the ATII Work Streams overlap, it is important to articulate which sets of recommended solutions fit well (inter-digitate and amplify, rather than conflict with) others among the WSs and how they will ultimately contribute to combined sets of actions for ATII.       </w:t>
      </w:r>
    </w:p>
    <w:p w14:paraId="37EF25AB" w14:textId="55424B12" w:rsidR="002B5671" w:rsidRPr="00137552" w:rsidRDefault="002B5671" w:rsidP="002B5671">
      <w:r w:rsidRPr="002B5671">
        <w:t xml:space="preserve">Create food environments that enable people to adopt and maintain healthy and sustainable dietary practices.  </w:t>
      </w:r>
      <w:r w:rsidR="00074CA1">
        <w:t>C</w:t>
      </w:r>
      <w:r w:rsidRPr="002B5671">
        <w:t xml:space="preserve">hallenges might vary among income contexts, </w:t>
      </w:r>
      <w:r w:rsidR="00074CA1">
        <w:t xml:space="preserve">but </w:t>
      </w:r>
      <w:r>
        <w:t>Low</w:t>
      </w:r>
      <w:r w:rsidR="00074CA1">
        <w:t>-</w:t>
      </w:r>
      <w:r>
        <w:t xml:space="preserve">Income Countries </w:t>
      </w:r>
      <w:r w:rsidRPr="002B5671">
        <w:t xml:space="preserve">are already rapidly following the paths of </w:t>
      </w:r>
      <w:r>
        <w:t>Middle</w:t>
      </w:r>
      <w:r w:rsidR="00074CA1">
        <w:t>-</w:t>
      </w:r>
      <w:r>
        <w:t xml:space="preserve">Income Countries with a </w:t>
      </w:r>
      <w:r w:rsidRPr="002B5671">
        <w:t xml:space="preserve">rapid escalation of spending on </w:t>
      </w:r>
      <w:r>
        <w:t xml:space="preserve">highly processed and </w:t>
      </w:r>
      <w:r w:rsidRPr="002B5671">
        <w:t>packaged foods and drinks among the remotest of rural poor</w:t>
      </w:r>
      <w:r>
        <w:t>, and</w:t>
      </w:r>
      <w:r w:rsidRPr="002B5671">
        <w:t xml:space="preserve"> obesity in the </w:t>
      </w:r>
      <w:r>
        <w:t xml:space="preserve">remote </w:t>
      </w:r>
      <w:r w:rsidRPr="002B5671">
        <w:t xml:space="preserve">rural </w:t>
      </w:r>
      <w:r>
        <w:t xml:space="preserve">areas </w:t>
      </w:r>
      <w:r w:rsidRPr="002B5671">
        <w:t>is climbing sharply</w:t>
      </w:r>
      <w:r>
        <w:t>.</w:t>
      </w:r>
      <w:r w:rsidR="00137552">
        <w:t xml:space="preserve"> </w:t>
      </w:r>
      <w:r w:rsidR="00074CA1">
        <w:t xml:space="preserve"> Therefore, </w:t>
      </w:r>
      <w:r w:rsidR="00721911">
        <w:t xml:space="preserve">whilst </w:t>
      </w:r>
      <w:r w:rsidR="00074CA1">
        <w:t>solutions need to respect complexity shaped by nuances, it is important</w:t>
      </w:r>
      <w:r w:rsidR="00721911">
        <w:t xml:space="preserve"> that we find</w:t>
      </w:r>
      <w:r w:rsidRPr="00137552">
        <w:t xml:space="preserve"> agreed problems and agreed </w:t>
      </w:r>
      <w:r w:rsidR="00721911">
        <w:t xml:space="preserve">actions. </w:t>
      </w:r>
    </w:p>
    <w:p w14:paraId="13D48D64" w14:textId="1A03C795" w:rsidR="00721911" w:rsidRDefault="005046A8" w:rsidP="00137552">
      <w:r>
        <w:rPr>
          <w:rFonts w:eastAsia="Times New Roman"/>
          <w:color w:val="222222"/>
          <w:lang w:eastAsia="en-GB"/>
        </w:rPr>
        <w:t xml:space="preserve">Food </w:t>
      </w:r>
      <w:r w:rsidR="00CA36B9">
        <w:rPr>
          <w:rFonts w:eastAsia="Times New Roman"/>
          <w:color w:val="222222"/>
          <w:lang w:eastAsia="en-GB"/>
        </w:rPr>
        <w:t>e</w:t>
      </w:r>
      <w:r>
        <w:rPr>
          <w:rFonts w:eastAsia="Times New Roman"/>
          <w:color w:val="222222"/>
          <w:lang w:eastAsia="en-GB"/>
        </w:rPr>
        <w:t>nvironments s</w:t>
      </w:r>
      <w:r w:rsidR="00137552">
        <w:rPr>
          <w:rFonts w:eastAsia="Times New Roman"/>
          <w:color w:val="222222"/>
          <w:lang w:eastAsia="en-GB"/>
        </w:rPr>
        <w:t xml:space="preserve">olutions </w:t>
      </w:r>
      <w:r>
        <w:rPr>
          <w:rFonts w:eastAsia="Times New Roman"/>
          <w:color w:val="222222"/>
          <w:lang w:eastAsia="en-GB"/>
        </w:rPr>
        <w:t xml:space="preserve">serve as “enablers” - </w:t>
      </w:r>
      <w:r w:rsidR="00137552" w:rsidRPr="00B20840">
        <w:rPr>
          <w:rFonts w:eastAsia="Times New Roman"/>
          <w:color w:val="222222"/>
          <w:lang w:eastAsia="en-GB"/>
        </w:rPr>
        <w:t xml:space="preserve">making it easier for consumers to access </w:t>
      </w:r>
      <w:r w:rsidR="00137552">
        <w:rPr>
          <w:rFonts w:eastAsia="Times New Roman"/>
          <w:color w:val="222222"/>
          <w:lang w:eastAsia="en-GB"/>
        </w:rPr>
        <w:t xml:space="preserve">foods that contribute to </w:t>
      </w:r>
      <w:r w:rsidR="00137552" w:rsidRPr="00B20840">
        <w:t xml:space="preserve">healthy, safe and sustainable </w:t>
      </w:r>
      <w:r w:rsidR="00137552">
        <w:t>diets</w:t>
      </w:r>
      <w:r w:rsidR="00137552" w:rsidRPr="00B20840">
        <w:t xml:space="preserve">, by ensuring that </w:t>
      </w:r>
      <w:r w:rsidR="00137552">
        <w:t>such foods</w:t>
      </w:r>
      <w:r w:rsidR="00137552" w:rsidRPr="00B20840">
        <w:t xml:space="preserve"> are available and affordable</w:t>
      </w:r>
      <w:r w:rsidR="00137552">
        <w:t xml:space="preserve">. They should also </w:t>
      </w:r>
      <w:r w:rsidR="00137552" w:rsidRPr="00B20840">
        <w:t>creat</w:t>
      </w:r>
      <w:r w:rsidR="00137552">
        <w:t>e</w:t>
      </w:r>
      <w:r w:rsidR="00137552" w:rsidRPr="00B20840">
        <w:t xml:space="preserve"> environments where consumers are less </w:t>
      </w:r>
      <w:r w:rsidR="00137552">
        <w:t>incentivized to and will have the real opportunity to choose not to overconsume</w:t>
      </w:r>
      <w:r w:rsidR="00137552" w:rsidRPr="00B20840">
        <w:t xml:space="preserve"> </w:t>
      </w:r>
      <w:r w:rsidR="00137552">
        <w:t>food and drink products that are</w:t>
      </w:r>
      <w:r w:rsidR="00137552" w:rsidRPr="00B20840">
        <w:t xml:space="preserve"> </w:t>
      </w:r>
      <w:r w:rsidR="00137552">
        <w:t>high in unhealthy fats, sugars or salt or for which overconsumption is unhealthy and/or unsustainable</w:t>
      </w:r>
      <w:r w:rsidR="00137552" w:rsidRPr="00B20840">
        <w:t>.</w:t>
      </w:r>
      <w:r w:rsidR="00137552" w:rsidRPr="27AFD97A">
        <w:t xml:space="preserve"> </w:t>
      </w:r>
    </w:p>
    <w:p w14:paraId="2BCA99A0" w14:textId="50AF92DF" w:rsidR="00CA36B9" w:rsidRDefault="00CA36B9" w:rsidP="00CA36B9">
      <w:r w:rsidRPr="27AFD97A">
        <w:t>Work</w:t>
      </w:r>
      <w:r>
        <w:t>stream</w:t>
      </w:r>
      <w:r w:rsidRPr="27AFD97A">
        <w:t xml:space="preserve"> 1 will </w:t>
      </w:r>
      <w:r>
        <w:t xml:space="preserve">further document good practice and impact and </w:t>
      </w:r>
      <w:r w:rsidRPr="27AFD97A">
        <w:t>develop tools</w:t>
      </w:r>
      <w:r>
        <w:t>, resources</w:t>
      </w:r>
      <w:r w:rsidRPr="27AFD97A">
        <w:t xml:space="preserve"> </w:t>
      </w:r>
      <w:r>
        <w:t xml:space="preserve">and roadmaps </w:t>
      </w:r>
      <w:r w:rsidRPr="27AFD97A">
        <w:t xml:space="preserve">for effective actions by </w:t>
      </w:r>
      <w:proofErr w:type="gramStart"/>
      <w:r w:rsidRPr="27AFD97A">
        <w:rPr>
          <w:rFonts w:eastAsia="Times New Roman"/>
          <w:lang w:eastAsia="en-GB"/>
        </w:rPr>
        <w:t>policy-makers</w:t>
      </w:r>
      <w:proofErr w:type="gramEnd"/>
      <w:r w:rsidRPr="27AFD97A">
        <w:rPr>
          <w:rFonts w:eastAsia="Times New Roman"/>
          <w:lang w:eastAsia="en-GB"/>
        </w:rPr>
        <w:t xml:space="preserve"> to catalyze the needed shift in food environments.</w:t>
      </w:r>
      <w:r>
        <w:rPr>
          <w:rFonts w:eastAsia="Times New Roman"/>
          <w:lang w:eastAsia="en-GB"/>
        </w:rPr>
        <w:t xml:space="preserve">  </w:t>
      </w:r>
      <w:r w:rsidR="00681E98" w:rsidRPr="00681E98">
        <w:t xml:space="preserve">Identify </w:t>
      </w:r>
      <w:r w:rsidR="00681E98">
        <w:t>best practices that</w:t>
      </w:r>
      <w:r w:rsidR="00681E98" w:rsidRPr="00681E98">
        <w:t xml:space="preserve"> have a direct relationship to food environment transformation, and </w:t>
      </w:r>
      <w:r w:rsidR="00681E98">
        <w:t xml:space="preserve">carefully </w:t>
      </w:r>
      <w:r w:rsidR="00681E98" w:rsidRPr="00CA36B9">
        <w:t>examine</w:t>
      </w:r>
      <w:r w:rsidR="00681E98" w:rsidRPr="00681E98">
        <w:t xml:space="preserve"> how they could be used in combinations to effect desired change</w:t>
      </w:r>
      <w:r w:rsidR="00681E98" w:rsidRPr="00CA36B9">
        <w:t xml:space="preserve">.  </w:t>
      </w:r>
      <w:r>
        <w:t xml:space="preserve">Collect </w:t>
      </w:r>
      <w:r w:rsidRPr="00CA36B9">
        <w:t>voices from consumers, regulators,</w:t>
      </w:r>
      <w:r>
        <w:t xml:space="preserve"> t</w:t>
      </w:r>
      <w:r w:rsidRPr="00CA36B9">
        <w:t>ell stories of good practices and make a case for those stories.</w:t>
      </w:r>
      <w:r>
        <w:t xml:space="preserve"> </w:t>
      </w:r>
      <w:r w:rsidR="00BF137B">
        <w:t xml:space="preserve"> Emotions play a major role in creating desires for nutritious and sustainable diets, in addition to education and information.  Therefore, it is important for Food Environments to build values and emotional connections for those changes to happen. </w:t>
      </w:r>
    </w:p>
    <w:p w14:paraId="7235FE87" w14:textId="095628E2" w:rsidR="00CA36B9" w:rsidRDefault="00CA36B9" w:rsidP="00CA36B9">
      <w:r w:rsidRPr="00CA36B9">
        <w:t>Government</w:t>
      </w:r>
      <w:r w:rsidR="00BF137B">
        <w:t>s</w:t>
      </w:r>
      <w:r w:rsidRPr="00CA36B9">
        <w:t xml:space="preserve"> need to own the food environment.  Governments have a critical role to play in setting the appropriate economic and political incentives for food industry to do the right thing, while also regulating and disincentivizing harm seeking profit.  Carefully designed taxes and subsidies, regulatory frameworks, marketing restrictions, and rewards for positive change can all play a role going forward.</w:t>
      </w:r>
    </w:p>
    <w:p w14:paraId="51EEF803" w14:textId="2830DC17" w:rsidR="00210CC5" w:rsidRPr="00BF137B" w:rsidRDefault="00CA36B9" w:rsidP="00BF137B">
      <w:pPr>
        <w:shd w:val="clear" w:color="auto" w:fill="FFFFFF"/>
        <w:spacing w:after="120"/>
        <w:rPr>
          <w:rFonts w:eastAsia="Times New Roman" w:cstheme="minorHAnsi"/>
          <w:color w:val="222222"/>
          <w:lang w:eastAsia="en-GB"/>
        </w:rPr>
      </w:pPr>
      <w:r w:rsidRPr="006726E9">
        <w:rPr>
          <w:rFonts w:eastAsia="Times New Roman" w:cstheme="minorHAnsi"/>
          <w:color w:val="222222"/>
          <w:lang w:eastAsia="en-GB"/>
        </w:rPr>
        <w:t>W</w:t>
      </w:r>
      <w:r>
        <w:rPr>
          <w:rFonts w:eastAsia="Times New Roman" w:cstheme="minorHAnsi"/>
          <w:color w:val="222222"/>
          <w:lang w:eastAsia="en-GB"/>
        </w:rPr>
        <w:t xml:space="preserve">orkstream </w:t>
      </w:r>
      <w:r w:rsidRPr="006726E9">
        <w:rPr>
          <w:rFonts w:eastAsia="Times New Roman" w:cstheme="minorHAnsi"/>
          <w:color w:val="222222"/>
          <w:lang w:eastAsia="en-GB"/>
        </w:rPr>
        <w:t xml:space="preserve">1 will develop scoping reviews, </w:t>
      </w:r>
      <w:r>
        <w:rPr>
          <w:rFonts w:eastAsia="Times New Roman" w:cstheme="minorHAnsi"/>
          <w:color w:val="222222"/>
          <w:lang w:eastAsia="en-GB"/>
        </w:rPr>
        <w:t xml:space="preserve">analyses of potential impact, </w:t>
      </w:r>
      <w:r w:rsidRPr="006726E9">
        <w:rPr>
          <w:rFonts w:eastAsia="Times New Roman" w:cstheme="minorHAnsi"/>
          <w:color w:val="222222"/>
          <w:lang w:eastAsia="en-GB"/>
        </w:rPr>
        <w:t>case studies, costing exercises, model policies and policy briefs</w:t>
      </w:r>
      <w:r>
        <w:rPr>
          <w:rFonts w:eastAsia="Times New Roman" w:cstheme="minorHAnsi"/>
          <w:color w:val="222222"/>
          <w:lang w:eastAsia="en-GB"/>
        </w:rPr>
        <w:t xml:space="preserve"> on public policies and roadmaps for their implementation to create environments that support healthy, safe and sustainable consumption</w:t>
      </w:r>
      <w:r w:rsidRPr="006726E9">
        <w:rPr>
          <w:rFonts w:eastAsia="Times New Roman" w:cstheme="minorHAnsi"/>
          <w:color w:val="222222"/>
          <w:lang w:eastAsia="en-GB"/>
        </w:rPr>
        <w:t>.</w:t>
      </w:r>
      <w:r>
        <w:rPr>
          <w:rFonts w:eastAsia="Times New Roman" w:cstheme="minorHAnsi"/>
          <w:color w:val="222222"/>
          <w:lang w:eastAsia="en-GB"/>
        </w:rPr>
        <w:t xml:space="preserve"> This work will be supported by, and complementary to, the development of guidance from UN agencies (e.g. WHO guidelines on food environment policy actions currently under development).</w:t>
      </w:r>
      <w:r w:rsidRPr="006726E9">
        <w:rPr>
          <w:rFonts w:eastAsia="Times New Roman" w:cstheme="minorHAnsi"/>
          <w:color w:val="222222"/>
          <w:lang w:eastAsia="en-GB"/>
        </w:rPr>
        <w:t xml:space="preserve"> </w:t>
      </w:r>
    </w:p>
    <w:p w14:paraId="7B86383E" w14:textId="77777777" w:rsidR="00C63ED3" w:rsidRDefault="00C63ED3"/>
    <w:p w14:paraId="1FD4E792" w14:textId="49131129" w:rsidR="00155678" w:rsidRPr="00155678" w:rsidRDefault="00155678">
      <w:pPr>
        <w:rPr>
          <w:b/>
          <w:bCs/>
        </w:rPr>
      </w:pPr>
      <w:r>
        <w:rPr>
          <w:b/>
          <w:bCs/>
        </w:rPr>
        <w:lastRenderedPageBreak/>
        <w:t xml:space="preserve">Scope of Workstream </w:t>
      </w:r>
      <w:r w:rsidR="00BF137B">
        <w:rPr>
          <w:b/>
          <w:bCs/>
        </w:rPr>
        <w:t>1:</w:t>
      </w:r>
    </w:p>
    <w:p w14:paraId="38608477" w14:textId="658300CE" w:rsidR="00BF137B" w:rsidRDefault="00BF137B" w:rsidP="00BF137B">
      <w:pPr>
        <w:shd w:val="clear" w:color="auto" w:fill="FFFFFF"/>
        <w:spacing w:after="120"/>
        <w:rPr>
          <w:rFonts w:eastAsia="Times New Roman" w:cstheme="minorHAnsi"/>
          <w:color w:val="222222"/>
          <w:lang w:eastAsia="en-GB"/>
        </w:rPr>
      </w:pPr>
      <w:r>
        <w:rPr>
          <w:rFonts w:eastAsia="Times New Roman" w:cstheme="minorHAnsi"/>
          <w:color w:val="222222"/>
          <w:lang w:eastAsia="en-GB"/>
        </w:rPr>
        <w:t xml:space="preserve">We have identified </w:t>
      </w:r>
      <w:r w:rsidRPr="00536DBF">
        <w:rPr>
          <w:rFonts w:eastAsia="Times New Roman" w:cstheme="minorHAnsi"/>
          <w:color w:val="222222"/>
          <w:lang w:eastAsia="en-GB"/>
        </w:rPr>
        <w:t>include</w:t>
      </w:r>
      <w:r>
        <w:rPr>
          <w:rFonts w:eastAsia="Times New Roman" w:cstheme="minorHAnsi"/>
          <w:color w:val="222222"/>
          <w:lang w:eastAsia="en-GB"/>
        </w:rPr>
        <w:t xml:space="preserve"> two major areas of efforts to improve food environments</w:t>
      </w:r>
      <w:r w:rsidR="00CC1600">
        <w:rPr>
          <w:rFonts w:eastAsia="Times New Roman" w:cstheme="minorHAnsi"/>
          <w:color w:val="222222"/>
          <w:lang w:eastAsia="en-GB"/>
        </w:rPr>
        <w:t>: 1) Public and media environments; and 2) Market and dining environments</w:t>
      </w:r>
      <w:r>
        <w:rPr>
          <w:rFonts w:eastAsia="Times New Roman" w:cstheme="minorHAnsi"/>
          <w:color w:val="222222"/>
          <w:lang w:eastAsia="en-GB"/>
        </w:rPr>
        <w:t xml:space="preserve">. </w:t>
      </w:r>
    </w:p>
    <w:p w14:paraId="6FA7D259" w14:textId="64E4AFFA" w:rsidR="00A05E84" w:rsidRPr="00F72EC2" w:rsidRDefault="00A05E84" w:rsidP="00BF137B">
      <w:pPr>
        <w:shd w:val="clear" w:color="auto" w:fill="FFFFFF"/>
        <w:spacing w:after="120"/>
        <w:rPr>
          <w:rFonts w:eastAsia="Times New Roman" w:cstheme="minorHAnsi"/>
          <w:i/>
          <w:iCs/>
          <w:color w:val="222222"/>
          <w:lang w:eastAsia="en-GB"/>
        </w:rPr>
      </w:pPr>
      <w:r w:rsidRPr="00F72EC2">
        <w:rPr>
          <w:rFonts w:eastAsia="Times New Roman" w:cstheme="minorHAnsi"/>
          <w:i/>
          <w:iCs/>
          <w:color w:val="222222"/>
          <w:lang w:eastAsia="en-GB"/>
        </w:rPr>
        <w:t>1. Public and media environments</w:t>
      </w:r>
    </w:p>
    <w:p w14:paraId="343FE41C" w14:textId="5514CC9A" w:rsidR="00B74272" w:rsidRPr="00365533" w:rsidRDefault="00B74272" w:rsidP="00365533">
      <w:r w:rsidRPr="00365533">
        <w:t>Workstream 1 supports implementation of policy measures in the following areas by (a) developing new or existing databases to document best practice and impact, (b) developing tools or promoting use of existing tools, (c) providing resources and training to build legal capacity (d) supporting pilot projects and innovation and (e) facilitating peer-to-peer learning and support through existing or new action networks that foster skills and collaboration</w:t>
      </w:r>
      <w:r w:rsidR="003C5C40" w:rsidRPr="00365533">
        <w:t>.  Examples include:</w:t>
      </w:r>
    </w:p>
    <w:p w14:paraId="0120811C" w14:textId="77777777" w:rsidR="00BF137B" w:rsidRPr="003C5C40" w:rsidRDefault="00BF137B" w:rsidP="003C5C40">
      <w:pPr>
        <w:numPr>
          <w:ilvl w:val="0"/>
          <w:numId w:val="5"/>
        </w:numPr>
        <w:shd w:val="clear" w:color="auto" w:fill="FFFFFF" w:themeFill="background1"/>
        <w:spacing w:after="120" w:line="240" w:lineRule="auto"/>
        <w:rPr>
          <w:rFonts w:eastAsia="Times New Roman"/>
          <w:color w:val="000000" w:themeColor="text1"/>
          <w:lang w:eastAsia="en-GB"/>
        </w:rPr>
      </w:pPr>
      <w:r w:rsidRPr="003C5C40">
        <w:rPr>
          <w:rFonts w:eastAsia="Times New Roman"/>
          <w:color w:val="000000" w:themeColor="text1"/>
          <w:lang w:eastAsia="en-GB"/>
        </w:rPr>
        <w:t>fiscal policies (taxes and subsidies) to promote healthier and more sustainable consumption;</w:t>
      </w:r>
    </w:p>
    <w:p w14:paraId="5705AE0B" w14:textId="77777777" w:rsidR="00BF137B" w:rsidRPr="003C5C40" w:rsidRDefault="00BF137B" w:rsidP="003C5C40">
      <w:pPr>
        <w:numPr>
          <w:ilvl w:val="0"/>
          <w:numId w:val="5"/>
        </w:numPr>
        <w:shd w:val="clear" w:color="auto" w:fill="FFFFFF" w:themeFill="background1"/>
        <w:spacing w:after="120" w:line="240" w:lineRule="auto"/>
        <w:rPr>
          <w:rFonts w:eastAsia="Times New Roman"/>
          <w:color w:val="000000" w:themeColor="text1"/>
          <w:lang w:eastAsia="en-GB"/>
        </w:rPr>
      </w:pPr>
      <w:r w:rsidRPr="003C5C40">
        <w:rPr>
          <w:rFonts w:eastAsia="Times New Roman"/>
          <w:color w:val="000000" w:themeColor="text1"/>
          <w:lang w:eastAsia="en-GB"/>
        </w:rPr>
        <w:t>limiting the impact of food marketing (including digital marketing and sponsorship) as a driver of unhealthy and unsustainable overconsumption;  </w:t>
      </w:r>
    </w:p>
    <w:p w14:paraId="0FF2AF8C" w14:textId="77777777" w:rsidR="00BF137B" w:rsidRPr="003C5C40" w:rsidRDefault="00BF137B" w:rsidP="003C5C40">
      <w:pPr>
        <w:numPr>
          <w:ilvl w:val="0"/>
          <w:numId w:val="5"/>
        </w:numPr>
        <w:shd w:val="clear" w:color="auto" w:fill="FFFFFF" w:themeFill="background1"/>
        <w:spacing w:after="120" w:line="240" w:lineRule="auto"/>
        <w:rPr>
          <w:rFonts w:eastAsia="Times New Roman"/>
          <w:color w:val="000000" w:themeColor="text1"/>
          <w:lang w:eastAsia="en-GB"/>
        </w:rPr>
      </w:pPr>
      <w:r w:rsidRPr="003C5C40">
        <w:rPr>
          <w:rFonts w:eastAsia="Times New Roman"/>
          <w:color w:val="000000" w:themeColor="text1"/>
          <w:lang w:eastAsia="en-GB"/>
        </w:rPr>
        <w:t>labelling policies to enable healthier, sustainable dietary choices (including front-of-pack nutrition, sustainability and fair price labelling and increasing uptake of Codex Alimentarius guidelines); and</w:t>
      </w:r>
    </w:p>
    <w:p w14:paraId="6C453ABD" w14:textId="63C0BB84" w:rsidR="00BF137B" w:rsidRPr="003C5C40" w:rsidRDefault="00BF137B" w:rsidP="003C5C40">
      <w:pPr>
        <w:numPr>
          <w:ilvl w:val="0"/>
          <w:numId w:val="5"/>
        </w:numPr>
        <w:shd w:val="clear" w:color="auto" w:fill="FFFFFF" w:themeFill="background1"/>
        <w:spacing w:after="120" w:line="240" w:lineRule="auto"/>
        <w:rPr>
          <w:rFonts w:eastAsia="Times New Roman"/>
          <w:color w:val="000000" w:themeColor="text1"/>
          <w:lang w:eastAsia="en-GB"/>
        </w:rPr>
      </w:pPr>
      <w:r w:rsidRPr="003C5C40">
        <w:rPr>
          <w:rFonts w:eastAsia="Times New Roman"/>
          <w:color w:val="000000" w:themeColor="text1"/>
          <w:lang w:eastAsia="en-GB"/>
        </w:rPr>
        <w:t>sustainable public food procurement for healthy diet in schools and other public institutions. </w:t>
      </w:r>
    </w:p>
    <w:p w14:paraId="723EAB88" w14:textId="62A0D19A" w:rsidR="00B74272" w:rsidRPr="0043103A" w:rsidRDefault="00CC1600" w:rsidP="00B74272">
      <w:pPr>
        <w:numPr>
          <w:ilvl w:val="0"/>
          <w:numId w:val="5"/>
        </w:numPr>
        <w:shd w:val="clear" w:color="auto" w:fill="FFFFFF" w:themeFill="background1"/>
        <w:spacing w:after="120" w:line="240" w:lineRule="auto"/>
        <w:rPr>
          <w:rFonts w:eastAsia="Times New Roman"/>
          <w:color w:val="000000" w:themeColor="text1"/>
          <w:lang w:eastAsia="en-GB"/>
        </w:rPr>
      </w:pPr>
      <w:r>
        <w:rPr>
          <w:rFonts w:eastAsia="Times New Roman"/>
          <w:color w:val="000000" w:themeColor="text1"/>
          <w:lang w:eastAsia="en-GB"/>
        </w:rPr>
        <w:t>s</w:t>
      </w:r>
      <w:r w:rsidR="00B74272">
        <w:rPr>
          <w:rFonts w:eastAsia="Times New Roman"/>
          <w:color w:val="000000" w:themeColor="text1"/>
          <w:lang w:eastAsia="en-GB"/>
        </w:rPr>
        <w:t xml:space="preserve">upporting healthy, </w:t>
      </w:r>
      <w:r w:rsidR="00B74272" w:rsidRPr="00CC1600">
        <w:rPr>
          <w:rFonts w:eastAsia="Times New Roman"/>
          <w:color w:val="000000" w:themeColor="text1"/>
          <w:lang w:eastAsia="en-GB"/>
        </w:rPr>
        <w:t>sustainable food value chains f</w:t>
      </w:r>
      <w:r w:rsidR="00B74272">
        <w:rPr>
          <w:rFonts w:eastAsia="Times New Roman"/>
          <w:color w:val="000000" w:themeColor="text1"/>
          <w:lang w:eastAsia="en-GB"/>
        </w:rPr>
        <w:t>or nutrition — to increase consumption, for example, of fruits, vegetables, fish and pulses — by supporting policies for smallholder farmers and research and incentives for neglected and underutilized species.</w:t>
      </w:r>
    </w:p>
    <w:p w14:paraId="677789E5" w14:textId="742298C9" w:rsidR="00B74272" w:rsidRPr="00F72EC2" w:rsidRDefault="00F72EC2" w:rsidP="00F72EC2">
      <w:pPr>
        <w:numPr>
          <w:ilvl w:val="0"/>
          <w:numId w:val="5"/>
        </w:numPr>
        <w:shd w:val="clear" w:color="auto" w:fill="FFFFFF" w:themeFill="background1"/>
        <w:spacing w:after="120" w:line="240" w:lineRule="auto"/>
        <w:rPr>
          <w:rFonts w:eastAsia="Times New Roman"/>
          <w:color w:val="000000" w:themeColor="text1"/>
          <w:lang w:eastAsia="en-GB"/>
        </w:rPr>
      </w:pPr>
      <w:r>
        <w:rPr>
          <w:rFonts w:eastAsia="Times New Roman"/>
          <w:color w:val="000000" w:themeColor="text1"/>
          <w:lang w:eastAsia="en-GB"/>
        </w:rPr>
        <w:t>a</w:t>
      </w:r>
      <w:r w:rsidR="00B74272" w:rsidRPr="00F72EC2">
        <w:rPr>
          <w:rFonts w:eastAsia="Times New Roman"/>
          <w:color w:val="000000" w:themeColor="text1"/>
          <w:lang w:eastAsia="en-GB"/>
        </w:rPr>
        <w:t xml:space="preserve">ddressing breast-milk substitute promotion through health care workers and in health systems by initiating dialogue with professional bodies and exploring options for ensuring better health care worker education on their responsibilities under the </w:t>
      </w:r>
      <w:r w:rsidRPr="00F72EC2">
        <w:rPr>
          <w:rFonts w:eastAsia="Times New Roman"/>
          <w:color w:val="000000" w:themeColor="text1"/>
          <w:lang w:eastAsia="en-GB"/>
        </w:rPr>
        <w:t>International Code of Breastmilk Substitutes</w:t>
      </w:r>
      <w:r w:rsidR="00B74272" w:rsidRPr="00F72EC2">
        <w:rPr>
          <w:rFonts w:eastAsia="Times New Roman"/>
          <w:color w:val="000000" w:themeColor="text1"/>
          <w:lang w:eastAsia="en-GB"/>
        </w:rPr>
        <w:t>.</w:t>
      </w:r>
    </w:p>
    <w:p w14:paraId="1C3C86A6" w14:textId="5257E517" w:rsidR="00B74272" w:rsidRPr="00F72EC2" w:rsidRDefault="00F72EC2" w:rsidP="00F72EC2">
      <w:pPr>
        <w:numPr>
          <w:ilvl w:val="0"/>
          <w:numId w:val="5"/>
        </w:numPr>
        <w:shd w:val="clear" w:color="auto" w:fill="FFFFFF" w:themeFill="background1"/>
        <w:spacing w:after="120" w:line="240" w:lineRule="auto"/>
        <w:rPr>
          <w:rFonts w:eastAsia="Times New Roman"/>
          <w:color w:val="000000" w:themeColor="text1"/>
          <w:lang w:eastAsia="en-GB"/>
        </w:rPr>
      </w:pPr>
      <w:r>
        <w:rPr>
          <w:rFonts w:eastAsia="Times New Roman"/>
          <w:color w:val="000000" w:themeColor="text1"/>
          <w:lang w:eastAsia="en-GB"/>
        </w:rPr>
        <w:t>co</w:t>
      </w:r>
      <w:r w:rsidR="00B74272" w:rsidRPr="00F72EC2">
        <w:rPr>
          <w:rFonts w:eastAsia="Times New Roman"/>
          <w:color w:val="000000" w:themeColor="text1"/>
          <w:lang w:eastAsia="en-GB"/>
        </w:rPr>
        <w:t>nducting a scoping exercise on how to reduce overconsumption of meat and other animal-source foods in some contexts and increase consumption of plant-rich diets, including boosting fruit and vegetable consumption and considering the role for new and emerging products (such as plant-based proteins, algae and insects) and indigenous or traditional foods in healthy, sustainable and safe diets.</w:t>
      </w:r>
    </w:p>
    <w:p w14:paraId="354A4F49" w14:textId="77777777" w:rsidR="00F72EC2" w:rsidRDefault="00F72EC2" w:rsidP="00F72EC2">
      <w:pPr>
        <w:shd w:val="clear" w:color="auto" w:fill="FFFFFF" w:themeFill="background1"/>
        <w:spacing w:after="120" w:line="240" w:lineRule="auto"/>
        <w:rPr>
          <w:rFonts w:eastAsia="Times New Roman" w:cstheme="minorHAnsi"/>
          <w:color w:val="222222"/>
          <w:lang w:eastAsia="en-GB"/>
        </w:rPr>
      </w:pPr>
    </w:p>
    <w:p w14:paraId="73E6A46C" w14:textId="7ED077E3" w:rsidR="00B74272" w:rsidRPr="00F72EC2" w:rsidRDefault="00F72EC2" w:rsidP="00F72EC2">
      <w:pPr>
        <w:shd w:val="clear" w:color="auto" w:fill="FFFFFF" w:themeFill="background1"/>
        <w:spacing w:after="120" w:line="240" w:lineRule="auto"/>
        <w:rPr>
          <w:rFonts w:eastAsia="Times New Roman"/>
          <w:i/>
          <w:iCs/>
          <w:color w:val="000000" w:themeColor="text1"/>
          <w:lang w:eastAsia="en-GB"/>
        </w:rPr>
      </w:pPr>
      <w:r w:rsidRPr="00F72EC2">
        <w:rPr>
          <w:rFonts w:eastAsia="Times New Roman" w:cstheme="minorHAnsi"/>
          <w:i/>
          <w:iCs/>
          <w:color w:val="222222"/>
          <w:lang w:eastAsia="en-GB"/>
        </w:rPr>
        <w:t>2. Market and dining environments</w:t>
      </w:r>
    </w:p>
    <w:p w14:paraId="7E66F12A" w14:textId="7CF0CC75" w:rsidR="00BF137B" w:rsidRPr="00365533" w:rsidRDefault="00365533" w:rsidP="00365533">
      <w:r w:rsidRPr="00365533">
        <w:t>Workstream 1 e</w:t>
      </w:r>
      <w:r w:rsidR="00BF137B" w:rsidRPr="00365533">
        <w:t>xpand</w:t>
      </w:r>
      <w:r w:rsidRPr="00365533">
        <w:t>s</w:t>
      </w:r>
      <w:r w:rsidR="00BF137B" w:rsidRPr="00365533">
        <w:t xml:space="preserve"> the adoption of policies to create food environments in retail outlets and the eating out of the home sector, including street foods, that promote healthy and sustainable consumption</w:t>
      </w:r>
      <w:r w:rsidR="003020E0">
        <w:t>.  Examples include:</w:t>
      </w:r>
    </w:p>
    <w:p w14:paraId="4E3EE02D" w14:textId="44FF2D00" w:rsidR="00BF137B" w:rsidRPr="00365533" w:rsidRDefault="00C67F4D" w:rsidP="00365533">
      <w:pPr>
        <w:numPr>
          <w:ilvl w:val="0"/>
          <w:numId w:val="5"/>
        </w:numPr>
        <w:shd w:val="clear" w:color="auto" w:fill="FFFFFF" w:themeFill="background1"/>
        <w:spacing w:after="120" w:line="240" w:lineRule="auto"/>
        <w:rPr>
          <w:rFonts w:eastAsia="Times New Roman"/>
          <w:color w:val="000000" w:themeColor="text1"/>
          <w:lang w:eastAsia="en-GB"/>
        </w:rPr>
      </w:pPr>
      <w:r>
        <w:rPr>
          <w:rFonts w:eastAsia="Times New Roman"/>
          <w:color w:val="000000" w:themeColor="text1"/>
          <w:lang w:eastAsia="en-GB"/>
        </w:rPr>
        <w:t>c</w:t>
      </w:r>
      <w:r w:rsidR="00BF137B" w:rsidRPr="00365533">
        <w:rPr>
          <w:rFonts w:eastAsia="Times New Roman"/>
          <w:color w:val="000000" w:themeColor="text1"/>
          <w:lang w:eastAsia="en-GB"/>
        </w:rPr>
        <w:t>reating a repository of best practice zoning or planning policies in urban areas for healthier and more sustainable consumption</w:t>
      </w:r>
      <w:r w:rsidR="00E906B0">
        <w:rPr>
          <w:rFonts w:eastAsia="Times New Roman"/>
          <w:color w:val="000000" w:themeColor="text1"/>
          <w:lang w:eastAsia="en-GB"/>
        </w:rPr>
        <w:t>.</w:t>
      </w:r>
    </w:p>
    <w:p w14:paraId="5D2B0B5E" w14:textId="040F1101" w:rsidR="00BF137B" w:rsidRPr="00365533" w:rsidRDefault="00C67F4D" w:rsidP="00365533">
      <w:pPr>
        <w:numPr>
          <w:ilvl w:val="0"/>
          <w:numId w:val="5"/>
        </w:numPr>
        <w:shd w:val="clear" w:color="auto" w:fill="FFFFFF" w:themeFill="background1"/>
        <w:spacing w:after="120" w:line="240" w:lineRule="auto"/>
        <w:rPr>
          <w:rFonts w:eastAsia="Times New Roman"/>
          <w:color w:val="000000" w:themeColor="text1"/>
          <w:lang w:eastAsia="en-GB"/>
        </w:rPr>
      </w:pPr>
      <w:r>
        <w:rPr>
          <w:rFonts w:eastAsia="Times New Roman"/>
          <w:color w:val="000000" w:themeColor="text1"/>
          <w:lang w:eastAsia="en-GB"/>
        </w:rPr>
        <w:t>c</w:t>
      </w:r>
      <w:r w:rsidR="00BF137B" w:rsidRPr="00365533">
        <w:rPr>
          <w:rFonts w:eastAsia="Times New Roman"/>
          <w:color w:val="000000" w:themeColor="text1"/>
          <w:lang w:eastAsia="en-GB"/>
        </w:rPr>
        <w:t>ompiling case studies of best practices to promote healthier and more sustainable food options (e.g. codes of conduct, labelling or award schemes) and scoping the trade-offs and financial implications for retailers and food service providers</w:t>
      </w:r>
      <w:r w:rsidR="00E906B0">
        <w:rPr>
          <w:rFonts w:eastAsia="Times New Roman"/>
          <w:color w:val="000000" w:themeColor="text1"/>
          <w:lang w:eastAsia="en-GB"/>
        </w:rPr>
        <w:t>.</w:t>
      </w:r>
      <w:r w:rsidR="00BF137B" w:rsidRPr="00365533">
        <w:rPr>
          <w:rFonts w:eastAsia="Times New Roman"/>
          <w:color w:val="000000" w:themeColor="text1"/>
          <w:lang w:eastAsia="en-GB"/>
        </w:rPr>
        <w:t xml:space="preserve"> </w:t>
      </w:r>
    </w:p>
    <w:p w14:paraId="1806BE93" w14:textId="0C6370D6" w:rsidR="00BF137B" w:rsidRPr="00E906B0" w:rsidRDefault="00C67F4D" w:rsidP="00E906B0">
      <w:pPr>
        <w:numPr>
          <w:ilvl w:val="0"/>
          <w:numId w:val="5"/>
        </w:numPr>
        <w:shd w:val="clear" w:color="auto" w:fill="FFFFFF" w:themeFill="background1"/>
        <w:spacing w:after="120" w:line="240" w:lineRule="auto"/>
        <w:rPr>
          <w:rFonts w:eastAsia="Times New Roman"/>
          <w:color w:val="000000" w:themeColor="text1"/>
          <w:lang w:eastAsia="en-GB"/>
        </w:rPr>
      </w:pPr>
      <w:r>
        <w:rPr>
          <w:rFonts w:eastAsia="Times New Roman"/>
          <w:color w:val="000000" w:themeColor="text1"/>
          <w:lang w:eastAsia="en-GB"/>
        </w:rPr>
        <w:lastRenderedPageBreak/>
        <w:t>s</w:t>
      </w:r>
      <w:r w:rsidR="00BF137B" w:rsidRPr="00365533">
        <w:rPr>
          <w:rFonts w:eastAsia="Times New Roman"/>
          <w:color w:val="000000" w:themeColor="text1"/>
          <w:lang w:eastAsia="en-GB"/>
        </w:rPr>
        <w:t>coping innovative and existing options to harness the potential of food markets as sources of healthy, safe and diversified foods for sustainable diets in low-, middle- and high-income countries (e.g. strengthening transport and storage infrastructure, shifting demand through local public procurement, markets as settings for women’s empowerment activities); and</w:t>
      </w:r>
      <w:r w:rsidR="00E906B0">
        <w:rPr>
          <w:rFonts w:eastAsia="Times New Roman"/>
          <w:color w:val="000000" w:themeColor="text1"/>
          <w:lang w:eastAsia="en-GB"/>
        </w:rPr>
        <w:t xml:space="preserve"> </w:t>
      </w:r>
      <w:r w:rsidRPr="00E906B0">
        <w:rPr>
          <w:rFonts w:eastAsia="Times New Roman"/>
          <w:color w:val="000000" w:themeColor="text1"/>
          <w:lang w:eastAsia="en-GB"/>
        </w:rPr>
        <w:t>d</w:t>
      </w:r>
      <w:r w:rsidR="00BF137B" w:rsidRPr="00E906B0">
        <w:rPr>
          <w:rFonts w:eastAsia="Times New Roman"/>
          <w:color w:val="000000" w:themeColor="text1"/>
          <w:lang w:eastAsia="en-GB"/>
        </w:rPr>
        <w:t>ocumenting good practice and impact of healthy food retail environments and their impact on improved diets through support to farmers and open-air markets, short circuits and other innovative approaches.</w:t>
      </w:r>
    </w:p>
    <w:p w14:paraId="7349E17D" w14:textId="6867BA6D" w:rsidR="00BF137B" w:rsidRPr="00365533" w:rsidRDefault="00C67F4D" w:rsidP="00365533">
      <w:pPr>
        <w:numPr>
          <w:ilvl w:val="0"/>
          <w:numId w:val="5"/>
        </w:numPr>
        <w:shd w:val="clear" w:color="auto" w:fill="FFFFFF" w:themeFill="background1"/>
        <w:spacing w:after="120" w:line="240" w:lineRule="auto"/>
        <w:rPr>
          <w:rFonts w:eastAsia="Times New Roman"/>
          <w:color w:val="000000" w:themeColor="text1"/>
          <w:lang w:eastAsia="en-GB"/>
        </w:rPr>
      </w:pPr>
      <w:r>
        <w:rPr>
          <w:rFonts w:eastAsia="Times New Roman"/>
          <w:color w:val="000000" w:themeColor="text1"/>
          <w:lang w:eastAsia="en-GB"/>
        </w:rPr>
        <w:t>s</w:t>
      </w:r>
      <w:r w:rsidR="00BF137B" w:rsidRPr="00365533">
        <w:rPr>
          <w:rFonts w:eastAsia="Times New Roman"/>
          <w:color w:val="000000" w:themeColor="text1"/>
          <w:lang w:eastAsia="en-GB"/>
        </w:rPr>
        <w:t>coping innovative and existing interventions to improve provision, and increase uptake of, healthy and sustainable foods in all types of workplace</w:t>
      </w:r>
      <w:r w:rsidR="00E906B0">
        <w:rPr>
          <w:rFonts w:eastAsia="Times New Roman"/>
          <w:color w:val="000000" w:themeColor="text1"/>
          <w:lang w:eastAsia="en-GB"/>
        </w:rPr>
        <w:t>.</w:t>
      </w:r>
    </w:p>
    <w:p w14:paraId="3D1206CD" w14:textId="01317663" w:rsidR="00BF137B" w:rsidRPr="00365533" w:rsidRDefault="00C67F4D" w:rsidP="00BF137B">
      <w:pPr>
        <w:numPr>
          <w:ilvl w:val="0"/>
          <w:numId w:val="5"/>
        </w:numPr>
        <w:shd w:val="clear" w:color="auto" w:fill="FFFFFF" w:themeFill="background1"/>
        <w:spacing w:after="120" w:line="240" w:lineRule="auto"/>
        <w:rPr>
          <w:rFonts w:eastAsia="Times New Roman"/>
          <w:color w:val="000000" w:themeColor="text1"/>
          <w:lang w:eastAsia="en-GB"/>
        </w:rPr>
      </w:pPr>
      <w:r>
        <w:rPr>
          <w:rFonts w:eastAsia="Times New Roman"/>
          <w:color w:val="000000" w:themeColor="text1"/>
          <w:lang w:eastAsia="en-GB"/>
        </w:rPr>
        <w:t>p</w:t>
      </w:r>
      <w:r w:rsidR="00BF137B" w:rsidRPr="00365533">
        <w:rPr>
          <w:rFonts w:eastAsia="Times New Roman"/>
          <w:color w:val="000000" w:themeColor="text1"/>
          <w:lang w:eastAsia="en-GB"/>
        </w:rPr>
        <w:t>romote prioritization of support, protection and promotion of breastfeeding and the elimination of inappropriate marketing practices</w:t>
      </w:r>
      <w:r w:rsidR="00E906B0">
        <w:rPr>
          <w:rFonts w:eastAsia="Times New Roman"/>
          <w:color w:val="000000" w:themeColor="text1"/>
          <w:lang w:eastAsia="en-GB"/>
        </w:rPr>
        <w:t>.</w:t>
      </w:r>
    </w:p>
    <w:p w14:paraId="66275770" w14:textId="77777777" w:rsidR="00FE34B7" w:rsidRPr="00365533" w:rsidRDefault="00FE34B7" w:rsidP="00C67F4D">
      <w:pPr>
        <w:shd w:val="clear" w:color="auto" w:fill="FFFFFF" w:themeFill="background1"/>
        <w:spacing w:after="120" w:line="240" w:lineRule="auto"/>
        <w:ind w:left="720"/>
        <w:rPr>
          <w:rFonts w:eastAsia="Times New Roman"/>
          <w:color w:val="000000" w:themeColor="text1"/>
          <w:lang w:eastAsia="en-GB"/>
        </w:rPr>
      </w:pPr>
    </w:p>
    <w:sectPr w:rsidR="00FE34B7" w:rsidRPr="00365533">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A64506" w14:textId="77777777" w:rsidR="00722A6F" w:rsidRDefault="00722A6F" w:rsidP="000249A1">
      <w:pPr>
        <w:spacing w:after="0" w:line="240" w:lineRule="auto"/>
      </w:pPr>
      <w:r>
        <w:separator/>
      </w:r>
    </w:p>
  </w:endnote>
  <w:endnote w:type="continuationSeparator" w:id="0">
    <w:p w14:paraId="2F0952FB" w14:textId="77777777" w:rsidR="00722A6F" w:rsidRDefault="00722A6F" w:rsidP="000249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altName w:val="Sylfaen"/>
    <w:panose1 w:val="020B0604020202020204"/>
    <w:charset w:val="00"/>
    <w:family w:val="swiss"/>
    <w:pitch w:val="variable"/>
    <w:sig w:usb0="E4002EFF" w:usb1="C000E47F" w:usb2="00000009" w:usb3="00000000" w:csb0="000001FF" w:csb1="00000000"/>
  </w:font>
  <w:font w:name="Times New Roman (Body CS)">
    <w:panose1 w:val="020B0604020202020204"/>
    <w:charset w:val="00"/>
    <w:family w:val="roman"/>
    <w:notTrueType/>
    <w:pitch w:val="default"/>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242F57" w14:textId="77777777" w:rsidR="00722A6F" w:rsidRDefault="00722A6F" w:rsidP="000249A1">
      <w:pPr>
        <w:spacing w:after="0" w:line="240" w:lineRule="auto"/>
      </w:pPr>
      <w:r>
        <w:separator/>
      </w:r>
    </w:p>
  </w:footnote>
  <w:footnote w:type="continuationSeparator" w:id="0">
    <w:p w14:paraId="25A1E6A8" w14:textId="77777777" w:rsidR="00722A6F" w:rsidRDefault="00722A6F" w:rsidP="000249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E0DE0" w14:textId="518E0E7E" w:rsidR="00510DE3" w:rsidRPr="009B2AB0" w:rsidRDefault="00CA36B9" w:rsidP="00BE0DC3">
    <w:pPr>
      <w:pStyle w:val="Header"/>
      <w:jc w:val="center"/>
      <w:rPr>
        <w:rFonts w:cs="Times New Roman (Body CS)"/>
        <w:b/>
        <w:bCs/>
        <w:color w:val="000000" w:themeColor="text1"/>
      </w:rPr>
    </w:pPr>
    <w:r>
      <w:rPr>
        <w:rFonts w:cs="Times New Roman (Body CS)"/>
        <w:b/>
        <w:bCs/>
        <w:color w:val="000000" w:themeColor="text1"/>
      </w:rPr>
      <w:t xml:space="preserve">WS1 </w:t>
    </w:r>
    <w:r w:rsidR="00510DE3" w:rsidRPr="009B2AB0">
      <w:rPr>
        <w:rFonts w:cs="Times New Roman (Body CS)"/>
        <w:b/>
        <w:bCs/>
        <w:color w:val="000000" w:themeColor="text1"/>
      </w:rPr>
      <w:t xml:space="preserve">ACTION TRACK </w:t>
    </w:r>
    <w:r w:rsidR="00646F5B">
      <w:rPr>
        <w:rFonts w:cs="Times New Roman (Body CS)"/>
        <w:b/>
        <w:bCs/>
        <w:color w:val="000000" w:themeColor="text1"/>
      </w:rPr>
      <w:t>2</w:t>
    </w:r>
    <w:r w:rsidR="00510DE3" w:rsidRPr="009B2AB0">
      <w:rPr>
        <w:rFonts w:cs="Times New Roman (Body CS)"/>
        <w:b/>
        <w:bCs/>
        <w:color w:val="000000" w:themeColor="text1"/>
      </w:rPr>
      <w:t xml:space="preserve"> — </w:t>
    </w:r>
    <w:r w:rsidR="00BB005A">
      <w:rPr>
        <w:rFonts w:cs="Times New Roman (Body CS)" w:hint="eastAsia"/>
        <w:b/>
        <w:bCs/>
        <w:color w:val="000000" w:themeColor="text1"/>
        <w:lang w:eastAsia="zh-CN"/>
      </w:rPr>
      <w:t>FOOD</w:t>
    </w:r>
    <w:r w:rsidR="00BB005A">
      <w:rPr>
        <w:rFonts w:cs="Times New Roman (Body CS)"/>
        <w:b/>
        <w:bCs/>
        <w:color w:val="000000" w:themeColor="text1"/>
        <w:lang w:eastAsia="zh-CN"/>
      </w:rPr>
      <w:t xml:space="preserve"> ENVIRONMENTS</w:t>
    </w:r>
  </w:p>
  <w:p w14:paraId="7348CEB2" w14:textId="0FFDE12A" w:rsidR="00510DE3" w:rsidRDefault="00510DE3" w:rsidP="00BE0DC3">
    <w:pPr>
      <w:pStyle w:val="Header"/>
      <w:jc w:val="center"/>
    </w:pPr>
  </w:p>
  <w:p w14:paraId="33BD9B00" w14:textId="77777777" w:rsidR="00510DE3" w:rsidRDefault="00510DE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B4BB7"/>
    <w:multiLevelType w:val="hybridMultilevel"/>
    <w:tmpl w:val="2FFE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7E64F7"/>
    <w:multiLevelType w:val="hybridMultilevel"/>
    <w:tmpl w:val="3A94A7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73F53B5"/>
    <w:multiLevelType w:val="multilevel"/>
    <w:tmpl w:val="1E84F64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0925D97"/>
    <w:multiLevelType w:val="multilevel"/>
    <w:tmpl w:val="806C49B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F366A5"/>
    <w:multiLevelType w:val="multilevel"/>
    <w:tmpl w:val="08FE5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6A26818"/>
    <w:multiLevelType w:val="hybridMultilevel"/>
    <w:tmpl w:val="6DFE3A9C"/>
    <w:lvl w:ilvl="0" w:tplc="61BE3520">
      <w:start w:val="10"/>
      <w:numFmt w:val="bullet"/>
      <w:lvlText w:val="-"/>
      <w:lvlJc w:val="left"/>
      <w:pPr>
        <w:ind w:left="720" w:hanging="360"/>
      </w:pPr>
      <w:rPr>
        <w:rFonts w:ascii="Calibri" w:eastAsia="Times New Roman"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B90E12"/>
    <w:multiLevelType w:val="multilevel"/>
    <w:tmpl w:val="18CED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36A43F3"/>
    <w:multiLevelType w:val="hybridMultilevel"/>
    <w:tmpl w:val="EA2C1EC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2038B2"/>
    <w:multiLevelType w:val="multilevel"/>
    <w:tmpl w:val="68446648"/>
    <w:lvl w:ilvl="0">
      <w:start w:val="1"/>
      <w:numFmt w:val="bullet"/>
      <w:lvlText w:val=""/>
      <w:lvlJc w:val="left"/>
      <w:pPr>
        <w:tabs>
          <w:tab w:val="num" w:pos="2154"/>
        </w:tabs>
        <w:ind w:left="2154" w:hanging="360"/>
      </w:pPr>
      <w:rPr>
        <w:rFonts w:ascii="Symbol" w:hAnsi="Symbol" w:hint="default"/>
        <w:sz w:val="20"/>
      </w:rPr>
    </w:lvl>
    <w:lvl w:ilvl="1">
      <w:start w:val="1"/>
      <w:numFmt w:val="bullet"/>
      <w:lvlText w:val=""/>
      <w:lvlJc w:val="left"/>
      <w:pPr>
        <w:tabs>
          <w:tab w:val="num" w:pos="2874"/>
        </w:tabs>
        <w:ind w:left="2874" w:hanging="360"/>
      </w:pPr>
      <w:rPr>
        <w:rFonts w:ascii="Symbol" w:hAnsi="Symbol" w:hint="default"/>
        <w:sz w:val="20"/>
      </w:rPr>
    </w:lvl>
    <w:lvl w:ilvl="2" w:tentative="1">
      <w:start w:val="1"/>
      <w:numFmt w:val="bullet"/>
      <w:lvlText w:val=""/>
      <w:lvlJc w:val="left"/>
      <w:pPr>
        <w:tabs>
          <w:tab w:val="num" w:pos="3594"/>
        </w:tabs>
        <w:ind w:left="3594" w:hanging="360"/>
      </w:pPr>
      <w:rPr>
        <w:rFonts w:ascii="Symbol" w:hAnsi="Symbol" w:hint="default"/>
        <w:sz w:val="20"/>
      </w:rPr>
    </w:lvl>
    <w:lvl w:ilvl="3" w:tentative="1">
      <w:start w:val="1"/>
      <w:numFmt w:val="bullet"/>
      <w:lvlText w:val=""/>
      <w:lvlJc w:val="left"/>
      <w:pPr>
        <w:tabs>
          <w:tab w:val="num" w:pos="4314"/>
        </w:tabs>
        <w:ind w:left="4314" w:hanging="360"/>
      </w:pPr>
      <w:rPr>
        <w:rFonts w:ascii="Symbol" w:hAnsi="Symbol" w:hint="default"/>
        <w:sz w:val="20"/>
      </w:rPr>
    </w:lvl>
    <w:lvl w:ilvl="4" w:tentative="1">
      <w:start w:val="1"/>
      <w:numFmt w:val="bullet"/>
      <w:lvlText w:val=""/>
      <w:lvlJc w:val="left"/>
      <w:pPr>
        <w:tabs>
          <w:tab w:val="num" w:pos="5034"/>
        </w:tabs>
        <w:ind w:left="5034" w:hanging="360"/>
      </w:pPr>
      <w:rPr>
        <w:rFonts w:ascii="Symbol" w:hAnsi="Symbol" w:hint="default"/>
        <w:sz w:val="20"/>
      </w:rPr>
    </w:lvl>
    <w:lvl w:ilvl="5" w:tentative="1">
      <w:start w:val="1"/>
      <w:numFmt w:val="bullet"/>
      <w:lvlText w:val=""/>
      <w:lvlJc w:val="left"/>
      <w:pPr>
        <w:tabs>
          <w:tab w:val="num" w:pos="5754"/>
        </w:tabs>
        <w:ind w:left="5754" w:hanging="360"/>
      </w:pPr>
      <w:rPr>
        <w:rFonts w:ascii="Symbol" w:hAnsi="Symbol" w:hint="default"/>
        <w:sz w:val="20"/>
      </w:rPr>
    </w:lvl>
    <w:lvl w:ilvl="6" w:tentative="1">
      <w:start w:val="1"/>
      <w:numFmt w:val="bullet"/>
      <w:lvlText w:val=""/>
      <w:lvlJc w:val="left"/>
      <w:pPr>
        <w:tabs>
          <w:tab w:val="num" w:pos="6474"/>
        </w:tabs>
        <w:ind w:left="6474" w:hanging="360"/>
      </w:pPr>
      <w:rPr>
        <w:rFonts w:ascii="Symbol" w:hAnsi="Symbol" w:hint="default"/>
        <w:sz w:val="20"/>
      </w:rPr>
    </w:lvl>
    <w:lvl w:ilvl="7" w:tentative="1">
      <w:start w:val="1"/>
      <w:numFmt w:val="bullet"/>
      <w:lvlText w:val=""/>
      <w:lvlJc w:val="left"/>
      <w:pPr>
        <w:tabs>
          <w:tab w:val="num" w:pos="7194"/>
        </w:tabs>
        <w:ind w:left="7194" w:hanging="360"/>
      </w:pPr>
      <w:rPr>
        <w:rFonts w:ascii="Symbol" w:hAnsi="Symbol" w:hint="default"/>
        <w:sz w:val="20"/>
      </w:rPr>
    </w:lvl>
    <w:lvl w:ilvl="8" w:tentative="1">
      <w:start w:val="1"/>
      <w:numFmt w:val="bullet"/>
      <w:lvlText w:val=""/>
      <w:lvlJc w:val="left"/>
      <w:pPr>
        <w:tabs>
          <w:tab w:val="num" w:pos="7914"/>
        </w:tabs>
        <w:ind w:left="7914" w:hanging="360"/>
      </w:pPr>
      <w:rPr>
        <w:rFonts w:ascii="Symbol" w:hAnsi="Symbol" w:hint="default"/>
        <w:sz w:val="20"/>
      </w:rPr>
    </w:lvl>
  </w:abstractNum>
  <w:abstractNum w:abstractNumId="9" w15:restartNumberingAfterBreak="0">
    <w:nsid w:val="6AF926C7"/>
    <w:multiLevelType w:val="hybridMultilevel"/>
    <w:tmpl w:val="C19E55A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F320EDF"/>
    <w:multiLevelType w:val="hybridMultilevel"/>
    <w:tmpl w:val="5BA2B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F3B0681"/>
    <w:multiLevelType w:val="hybridMultilevel"/>
    <w:tmpl w:val="5600DA4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10"/>
  </w:num>
  <w:num w:numId="3">
    <w:abstractNumId w:val="5"/>
  </w:num>
  <w:num w:numId="4">
    <w:abstractNumId w:val="7"/>
  </w:num>
  <w:num w:numId="5">
    <w:abstractNumId w:val="2"/>
  </w:num>
  <w:num w:numId="6">
    <w:abstractNumId w:val="11"/>
  </w:num>
  <w:num w:numId="7">
    <w:abstractNumId w:val="8"/>
  </w:num>
  <w:num w:numId="8">
    <w:abstractNumId w:val="9"/>
  </w:num>
  <w:num w:numId="9">
    <w:abstractNumId w:val="4"/>
  </w:num>
  <w:num w:numId="10">
    <w:abstractNumId w:val="6"/>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9A1"/>
    <w:rsid w:val="000249A1"/>
    <w:rsid w:val="0005762C"/>
    <w:rsid w:val="00074CA1"/>
    <w:rsid w:val="00075A67"/>
    <w:rsid w:val="000D6BB9"/>
    <w:rsid w:val="000F36BE"/>
    <w:rsid w:val="0010375C"/>
    <w:rsid w:val="00137552"/>
    <w:rsid w:val="00146D09"/>
    <w:rsid w:val="00155678"/>
    <w:rsid w:val="001609C8"/>
    <w:rsid w:val="001D47E5"/>
    <w:rsid w:val="00210CC5"/>
    <w:rsid w:val="00256E9D"/>
    <w:rsid w:val="00263F4A"/>
    <w:rsid w:val="00265884"/>
    <w:rsid w:val="002A2D02"/>
    <w:rsid w:val="002B5671"/>
    <w:rsid w:val="002D06B0"/>
    <w:rsid w:val="002F58E0"/>
    <w:rsid w:val="003020E0"/>
    <w:rsid w:val="00353EAE"/>
    <w:rsid w:val="003544E6"/>
    <w:rsid w:val="00365533"/>
    <w:rsid w:val="003668EA"/>
    <w:rsid w:val="00375E54"/>
    <w:rsid w:val="003A0ABE"/>
    <w:rsid w:val="003A49F6"/>
    <w:rsid w:val="003C5C40"/>
    <w:rsid w:val="00420FF2"/>
    <w:rsid w:val="0042108B"/>
    <w:rsid w:val="00435054"/>
    <w:rsid w:val="005046A8"/>
    <w:rsid w:val="00510DE3"/>
    <w:rsid w:val="00576AAA"/>
    <w:rsid w:val="00581A91"/>
    <w:rsid w:val="0058396C"/>
    <w:rsid w:val="005977A0"/>
    <w:rsid w:val="005A1D2C"/>
    <w:rsid w:val="00646F5B"/>
    <w:rsid w:val="00652FDB"/>
    <w:rsid w:val="00681E98"/>
    <w:rsid w:val="006E0747"/>
    <w:rsid w:val="006F71AE"/>
    <w:rsid w:val="0070302D"/>
    <w:rsid w:val="00721911"/>
    <w:rsid w:val="00722A6F"/>
    <w:rsid w:val="00724BA3"/>
    <w:rsid w:val="00734E2D"/>
    <w:rsid w:val="00750E9A"/>
    <w:rsid w:val="00763579"/>
    <w:rsid w:val="007648F6"/>
    <w:rsid w:val="00787B7F"/>
    <w:rsid w:val="00787C65"/>
    <w:rsid w:val="007C26D2"/>
    <w:rsid w:val="007D1045"/>
    <w:rsid w:val="00804DCE"/>
    <w:rsid w:val="00826312"/>
    <w:rsid w:val="0084382A"/>
    <w:rsid w:val="00867FD4"/>
    <w:rsid w:val="008D2D20"/>
    <w:rsid w:val="00913848"/>
    <w:rsid w:val="0092497C"/>
    <w:rsid w:val="0095045E"/>
    <w:rsid w:val="00A05E84"/>
    <w:rsid w:val="00A23562"/>
    <w:rsid w:val="00A244D3"/>
    <w:rsid w:val="00A54F98"/>
    <w:rsid w:val="00A600E5"/>
    <w:rsid w:val="00AD56A7"/>
    <w:rsid w:val="00AE3AED"/>
    <w:rsid w:val="00AF1415"/>
    <w:rsid w:val="00AF2E60"/>
    <w:rsid w:val="00B33FB0"/>
    <w:rsid w:val="00B36834"/>
    <w:rsid w:val="00B42C12"/>
    <w:rsid w:val="00B74272"/>
    <w:rsid w:val="00BB005A"/>
    <w:rsid w:val="00BC5DDA"/>
    <w:rsid w:val="00BD0F39"/>
    <w:rsid w:val="00BE0DC3"/>
    <w:rsid w:val="00BE159D"/>
    <w:rsid w:val="00BF137B"/>
    <w:rsid w:val="00C34ACF"/>
    <w:rsid w:val="00C55188"/>
    <w:rsid w:val="00C5719E"/>
    <w:rsid w:val="00C63ED3"/>
    <w:rsid w:val="00C67F4D"/>
    <w:rsid w:val="00C852F2"/>
    <w:rsid w:val="00C93DD2"/>
    <w:rsid w:val="00C97A58"/>
    <w:rsid w:val="00CA1969"/>
    <w:rsid w:val="00CA36B9"/>
    <w:rsid w:val="00CC1600"/>
    <w:rsid w:val="00CF3E7C"/>
    <w:rsid w:val="00CF5FCB"/>
    <w:rsid w:val="00D52389"/>
    <w:rsid w:val="00D6019D"/>
    <w:rsid w:val="00DB1E44"/>
    <w:rsid w:val="00DD010D"/>
    <w:rsid w:val="00E1541C"/>
    <w:rsid w:val="00E277CF"/>
    <w:rsid w:val="00E72A63"/>
    <w:rsid w:val="00E877FA"/>
    <w:rsid w:val="00E906B0"/>
    <w:rsid w:val="00ED470E"/>
    <w:rsid w:val="00EF0CF3"/>
    <w:rsid w:val="00F303AE"/>
    <w:rsid w:val="00F37E40"/>
    <w:rsid w:val="00F50D11"/>
    <w:rsid w:val="00F72EC2"/>
    <w:rsid w:val="00F8161A"/>
    <w:rsid w:val="00F82480"/>
    <w:rsid w:val="00FC1C0B"/>
    <w:rsid w:val="00FE34B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FA78F"/>
  <w15:chartTrackingRefBased/>
  <w15:docId w15:val="{E90936CA-C989-44DE-A77B-DA50FC8B4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49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249A1"/>
    <w:pPr>
      <w:ind w:left="720"/>
      <w:contextualSpacing/>
    </w:pPr>
  </w:style>
  <w:style w:type="paragraph" w:styleId="FootnoteText">
    <w:name w:val="footnote text"/>
    <w:basedOn w:val="Normal"/>
    <w:link w:val="FootnoteTextChar"/>
    <w:uiPriority w:val="99"/>
    <w:semiHidden/>
    <w:unhideWhenUsed/>
    <w:rsid w:val="000249A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49A1"/>
    <w:rPr>
      <w:sz w:val="20"/>
      <w:szCs w:val="20"/>
    </w:rPr>
  </w:style>
  <w:style w:type="character" w:styleId="FootnoteReference">
    <w:name w:val="footnote reference"/>
    <w:basedOn w:val="DefaultParagraphFont"/>
    <w:uiPriority w:val="99"/>
    <w:semiHidden/>
    <w:unhideWhenUsed/>
    <w:rsid w:val="000249A1"/>
    <w:rPr>
      <w:vertAlign w:val="superscript"/>
    </w:rPr>
  </w:style>
  <w:style w:type="paragraph" w:styleId="BalloonText">
    <w:name w:val="Balloon Text"/>
    <w:basedOn w:val="Normal"/>
    <w:link w:val="BalloonTextChar"/>
    <w:uiPriority w:val="99"/>
    <w:semiHidden/>
    <w:unhideWhenUsed/>
    <w:rsid w:val="006E074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0747"/>
    <w:rPr>
      <w:rFonts w:ascii="Segoe UI" w:hAnsi="Segoe UI" w:cs="Segoe UI"/>
      <w:sz w:val="18"/>
      <w:szCs w:val="18"/>
    </w:rPr>
  </w:style>
  <w:style w:type="paragraph" w:styleId="Header">
    <w:name w:val="header"/>
    <w:basedOn w:val="Normal"/>
    <w:link w:val="HeaderChar"/>
    <w:uiPriority w:val="99"/>
    <w:unhideWhenUsed/>
    <w:rsid w:val="00BE0D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DC3"/>
  </w:style>
  <w:style w:type="paragraph" w:styleId="Footer">
    <w:name w:val="footer"/>
    <w:basedOn w:val="Normal"/>
    <w:link w:val="FooterChar"/>
    <w:uiPriority w:val="99"/>
    <w:unhideWhenUsed/>
    <w:rsid w:val="00BE0D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DC3"/>
  </w:style>
  <w:style w:type="paragraph" w:styleId="NormalWeb">
    <w:name w:val="Normal (Web)"/>
    <w:basedOn w:val="Normal"/>
    <w:uiPriority w:val="99"/>
    <w:semiHidden/>
    <w:unhideWhenUsed/>
    <w:rsid w:val="0076357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6F71AE"/>
    <w:rPr>
      <w:sz w:val="16"/>
      <w:szCs w:val="16"/>
    </w:rPr>
  </w:style>
  <w:style w:type="paragraph" w:styleId="CommentText">
    <w:name w:val="annotation text"/>
    <w:basedOn w:val="Normal"/>
    <w:link w:val="CommentTextChar"/>
    <w:uiPriority w:val="99"/>
    <w:semiHidden/>
    <w:unhideWhenUsed/>
    <w:rsid w:val="006F71AE"/>
    <w:pPr>
      <w:spacing w:line="240" w:lineRule="auto"/>
    </w:pPr>
    <w:rPr>
      <w:sz w:val="20"/>
      <w:szCs w:val="20"/>
    </w:rPr>
  </w:style>
  <w:style w:type="character" w:customStyle="1" w:styleId="CommentTextChar">
    <w:name w:val="Comment Text Char"/>
    <w:basedOn w:val="DefaultParagraphFont"/>
    <w:link w:val="CommentText"/>
    <w:uiPriority w:val="99"/>
    <w:semiHidden/>
    <w:rsid w:val="006F71AE"/>
    <w:rPr>
      <w:sz w:val="20"/>
      <w:szCs w:val="20"/>
    </w:rPr>
  </w:style>
  <w:style w:type="character" w:customStyle="1" w:styleId="apple-converted-space">
    <w:name w:val="apple-converted-space"/>
    <w:basedOn w:val="DefaultParagraphFont"/>
    <w:rsid w:val="00074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2641852">
      <w:bodyDiv w:val="1"/>
      <w:marLeft w:val="0"/>
      <w:marRight w:val="0"/>
      <w:marTop w:val="0"/>
      <w:marBottom w:val="0"/>
      <w:divBdr>
        <w:top w:val="none" w:sz="0" w:space="0" w:color="auto"/>
        <w:left w:val="none" w:sz="0" w:space="0" w:color="auto"/>
        <w:bottom w:val="none" w:sz="0" w:space="0" w:color="auto"/>
        <w:right w:val="none" w:sz="0" w:space="0" w:color="auto"/>
      </w:divBdr>
    </w:div>
    <w:div w:id="702945893">
      <w:bodyDiv w:val="1"/>
      <w:marLeft w:val="0"/>
      <w:marRight w:val="0"/>
      <w:marTop w:val="0"/>
      <w:marBottom w:val="0"/>
      <w:divBdr>
        <w:top w:val="none" w:sz="0" w:space="0" w:color="auto"/>
        <w:left w:val="none" w:sz="0" w:space="0" w:color="auto"/>
        <w:bottom w:val="none" w:sz="0" w:space="0" w:color="auto"/>
        <w:right w:val="none" w:sz="0" w:space="0" w:color="auto"/>
      </w:divBdr>
    </w:div>
    <w:div w:id="706412996">
      <w:bodyDiv w:val="1"/>
      <w:marLeft w:val="0"/>
      <w:marRight w:val="0"/>
      <w:marTop w:val="0"/>
      <w:marBottom w:val="0"/>
      <w:divBdr>
        <w:top w:val="none" w:sz="0" w:space="0" w:color="auto"/>
        <w:left w:val="none" w:sz="0" w:space="0" w:color="auto"/>
        <w:bottom w:val="none" w:sz="0" w:space="0" w:color="auto"/>
        <w:right w:val="none" w:sz="0" w:space="0" w:color="auto"/>
      </w:divBdr>
    </w:div>
    <w:div w:id="1843616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6A7F83894A96B43B505AF8E58A92221" ma:contentTypeVersion="13" ma:contentTypeDescription="Create a new document." ma:contentTypeScope="" ma:versionID="358f1397bfc96d00e7215d5e17739f8e">
  <xsd:schema xmlns:xsd="http://www.w3.org/2001/XMLSchema" xmlns:xs="http://www.w3.org/2001/XMLSchema" xmlns:p="http://schemas.microsoft.com/office/2006/metadata/properties" xmlns:ns3="e46500bd-cdf4-4e30-9ab7-e26355af9c89" xmlns:ns4="318fdfbb-f13b-457e-92d4-394411490159" targetNamespace="http://schemas.microsoft.com/office/2006/metadata/properties" ma:root="true" ma:fieldsID="92b942031ac8e8d4797771813b1e8700" ns3:_="" ns4:_="">
    <xsd:import namespace="e46500bd-cdf4-4e30-9ab7-e26355af9c89"/>
    <xsd:import namespace="318fdfbb-f13b-457e-92d4-39441149015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6500bd-cdf4-4e30-9ab7-e26355af9c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18fdfbb-f13b-457e-92d4-39441149015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B303B9-C558-4F79-B3FA-9D8F20B5E431}">
  <ds:schemaRefs>
    <ds:schemaRef ds:uri="http://schemas.openxmlformats.org/officeDocument/2006/bibliography"/>
  </ds:schemaRefs>
</ds:datastoreItem>
</file>

<file path=customXml/itemProps2.xml><?xml version="1.0" encoding="utf-8"?>
<ds:datastoreItem xmlns:ds="http://schemas.openxmlformats.org/officeDocument/2006/customXml" ds:itemID="{3D222C31-3F2E-4544-A27C-E0F77B8CE67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B5C9422-5A99-415D-9B21-A5F070F089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6500bd-cdf4-4e30-9ab7-e26355af9c89"/>
    <ds:schemaRef ds:uri="318fdfbb-f13b-457e-92d4-3944114901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387858-AC76-4F36-A58E-A1CB390B0A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3</Pages>
  <Words>1049</Words>
  <Characters>5981</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Attwood</dc:creator>
  <cp:keywords/>
  <dc:description/>
  <cp:lastModifiedBy>ifchina@foxmail.com</cp:lastModifiedBy>
  <cp:revision>18</cp:revision>
  <dcterms:created xsi:type="dcterms:W3CDTF">2020-11-27T16:32:00Z</dcterms:created>
  <dcterms:modified xsi:type="dcterms:W3CDTF">2020-12-02T17:10:00Z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0x010100C6A7F83894A96B43B505AF8E58A92221</vt:lpwstr>
  </property>
</Properties>
</file>