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65985" w14:textId="35FDF277" w:rsidR="004E3FE2" w:rsidRDefault="004E3FE2" w:rsidP="004E3FE2">
      <w:pPr>
        <w:pStyle w:val="Heading1"/>
        <w:jc w:val="center"/>
      </w:pPr>
      <w:r>
        <w:t xml:space="preserve">Breakout Rooms session </w:t>
      </w:r>
      <w:r w:rsidR="00EC3C20">
        <w:t>–</w:t>
      </w:r>
      <w:r w:rsidR="00307908">
        <w:t xml:space="preserve"> </w:t>
      </w:r>
      <w:r w:rsidR="00EC3C20">
        <w:t xml:space="preserve">User </w:t>
      </w:r>
      <w:bookmarkStart w:id="0" w:name="_GoBack"/>
      <w:bookmarkEnd w:id="0"/>
      <w:r w:rsidR="00307908">
        <w:t>Guide</w:t>
      </w:r>
    </w:p>
    <w:p w14:paraId="0B551B10" w14:textId="77777777" w:rsidR="004E3FE2" w:rsidRDefault="004E3FE2" w:rsidP="004E3FE2"/>
    <w:p w14:paraId="5AFBDCD3" w14:textId="75909F82" w:rsidR="004E3FE2" w:rsidRDefault="00053732" w:rsidP="003E4002">
      <w:r>
        <w:rPr>
          <w:color w:val="1F497D"/>
        </w:rPr>
        <w:t>Please g</w:t>
      </w:r>
      <w:r w:rsidR="004E3FE2" w:rsidRPr="00307908">
        <w:rPr>
          <w:color w:val="1F497D"/>
        </w:rPr>
        <w:t xml:space="preserve">o </w:t>
      </w:r>
      <w:proofErr w:type="gramStart"/>
      <w:r w:rsidR="004E3FE2" w:rsidRPr="00307908">
        <w:rPr>
          <w:color w:val="1F497D"/>
        </w:rPr>
        <w:t>to:</w:t>
      </w:r>
      <w:proofErr w:type="gramEnd"/>
      <w:r w:rsidR="004E3FE2">
        <w:t xml:space="preserve"> </w:t>
      </w:r>
      <w:hyperlink r:id="rId4" w:history="1">
        <w:r w:rsidR="004E3FE2" w:rsidRPr="005B4064">
          <w:rPr>
            <w:rStyle w:val="Hyperlink"/>
          </w:rPr>
          <w:t>http://www.fao.org/gift-individual-food-consumption/en/</w:t>
        </w:r>
      </w:hyperlink>
      <w:r w:rsidR="004E3FE2">
        <w:t xml:space="preserve"> </w:t>
      </w:r>
    </w:p>
    <w:p w14:paraId="0B536458" w14:textId="77777777" w:rsidR="003E4002" w:rsidRDefault="007A0F1C" w:rsidP="003E4002">
      <w:r w:rsidRPr="007A0F1C">
        <w:rPr>
          <w:noProof/>
        </w:rPr>
        <w:drawing>
          <wp:inline distT="0" distB="0" distL="0" distR="0" wp14:anchorId="6ED3A453" wp14:editId="4853F49F">
            <wp:extent cx="5012300" cy="3814445"/>
            <wp:effectExtent l="0" t="0" r="0" b="0"/>
            <wp:docPr id="3" name="Picture 3" descr="C:\Users\Bevere\Desktop\FAO_WHO GIF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vere\Desktop\FAO_WHO GIFT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9232" cy="3819721"/>
                    </a:xfrm>
                    <a:prstGeom prst="rect">
                      <a:avLst/>
                    </a:prstGeom>
                    <a:noFill/>
                    <a:ln>
                      <a:noFill/>
                    </a:ln>
                  </pic:spPr>
                </pic:pic>
              </a:graphicData>
            </a:graphic>
          </wp:inline>
        </w:drawing>
      </w:r>
    </w:p>
    <w:p w14:paraId="193D47B5" w14:textId="77777777" w:rsidR="004E3FE2" w:rsidRDefault="004E3FE2" w:rsidP="003E4002"/>
    <w:p w14:paraId="547D695B" w14:textId="3522E88B" w:rsidR="00AA0D66" w:rsidRPr="00AA0D66" w:rsidRDefault="00053732" w:rsidP="003E4002">
      <w:pPr>
        <w:rPr>
          <w:color w:val="1F497D"/>
        </w:rPr>
      </w:pPr>
      <w:r>
        <w:rPr>
          <w:color w:val="1F497D"/>
        </w:rPr>
        <w:t>Now c</w:t>
      </w:r>
      <w:r w:rsidR="004E3FE2" w:rsidRPr="00307908">
        <w:rPr>
          <w:color w:val="1F497D"/>
        </w:rPr>
        <w:t>lick on</w:t>
      </w:r>
      <w:r w:rsidR="00F9741E">
        <w:rPr>
          <w:color w:val="1F497D"/>
        </w:rPr>
        <w:t xml:space="preserve"> the tab “data and indicators”</w:t>
      </w:r>
      <w:r w:rsidR="004E3FE2" w:rsidRPr="00307908">
        <w:rPr>
          <w:color w:val="1F497D"/>
        </w:rPr>
        <w:t>:</w:t>
      </w:r>
      <w:r w:rsidR="004E3FE2">
        <w:t xml:space="preserve"> </w:t>
      </w:r>
      <w:hyperlink r:id="rId6" w:history="1">
        <w:r w:rsidR="004E3FE2" w:rsidRPr="005B4064">
          <w:rPr>
            <w:rStyle w:val="Hyperlink"/>
          </w:rPr>
          <w:t>http://www.fao.org/gift-individual-food-consumption/data-and-indicator/en/</w:t>
        </w:r>
      </w:hyperlink>
      <w:r w:rsidR="00AA0D66">
        <w:t xml:space="preserve">. </w:t>
      </w:r>
      <w:r w:rsidR="00AA0D66">
        <w:rPr>
          <w:color w:val="1F497D"/>
        </w:rPr>
        <w:t xml:space="preserve">For example, if you select the Argentina dataset you can click on </w:t>
      </w:r>
      <w:r w:rsidR="00AA0D66" w:rsidRPr="00AA0D66">
        <w:rPr>
          <w:b/>
          <w:color w:val="1F497D"/>
          <w:u w:val="single"/>
        </w:rPr>
        <w:t>Download</w:t>
      </w:r>
      <w:r w:rsidR="00AA0D66">
        <w:rPr>
          <w:color w:val="1F497D"/>
        </w:rPr>
        <w:t xml:space="preserve"> to get the full dataset or </w:t>
      </w:r>
      <w:r w:rsidR="00AA0D66" w:rsidRPr="00AA0D66">
        <w:rPr>
          <w:b/>
          <w:color w:val="1F497D"/>
          <w:u w:val="single"/>
        </w:rPr>
        <w:t>Indicators</w:t>
      </w:r>
      <w:r w:rsidR="00AA0D66">
        <w:rPr>
          <w:color w:val="1F497D"/>
        </w:rPr>
        <w:t>.</w:t>
      </w:r>
    </w:p>
    <w:p w14:paraId="6A9201A7" w14:textId="77777777" w:rsidR="007A0F1C" w:rsidRDefault="007A0F1C" w:rsidP="003E4002">
      <w:pPr>
        <w:rPr>
          <w:color w:val="1F497D"/>
        </w:rPr>
      </w:pPr>
      <w:r>
        <w:rPr>
          <w:noProof/>
        </w:rPr>
        <w:drawing>
          <wp:inline distT="0" distB="0" distL="0" distR="0" wp14:anchorId="57DC43F6" wp14:editId="3F5535D6">
            <wp:extent cx="4936333" cy="2979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55490" cy="2990765"/>
                    </a:xfrm>
                    <a:prstGeom prst="rect">
                      <a:avLst/>
                    </a:prstGeom>
                  </pic:spPr>
                </pic:pic>
              </a:graphicData>
            </a:graphic>
          </wp:inline>
        </w:drawing>
      </w:r>
    </w:p>
    <w:p w14:paraId="7E565CD3" w14:textId="48BD7115" w:rsidR="007A0F1C" w:rsidRDefault="00AA0D66" w:rsidP="003E4002">
      <w:pPr>
        <w:rPr>
          <w:color w:val="1F497D"/>
        </w:rPr>
      </w:pPr>
      <w:r>
        <w:rPr>
          <w:color w:val="1F497D"/>
        </w:rPr>
        <w:lastRenderedPageBreak/>
        <w:t xml:space="preserve">If you click on </w:t>
      </w:r>
      <w:proofErr w:type="gramStart"/>
      <w:r w:rsidRPr="00AA0D66">
        <w:rPr>
          <w:b/>
          <w:color w:val="1F497D"/>
          <w:u w:val="single"/>
        </w:rPr>
        <w:t>Indicators</w:t>
      </w:r>
      <w:proofErr w:type="gramEnd"/>
      <w:r w:rsidR="00F9741E">
        <w:rPr>
          <w:color w:val="1F497D"/>
        </w:rPr>
        <w:t xml:space="preserve"> </w:t>
      </w:r>
      <w:r w:rsidR="00EA3BCB">
        <w:rPr>
          <w:color w:val="1F497D"/>
        </w:rPr>
        <w:t>you</w:t>
      </w:r>
      <w:r w:rsidR="002F00D8">
        <w:rPr>
          <w:color w:val="1F497D"/>
        </w:rPr>
        <w:t xml:space="preserve"> will see the screen below. </w:t>
      </w:r>
      <w:r w:rsidR="00F9741E">
        <w:rPr>
          <w:color w:val="1F497D"/>
        </w:rPr>
        <w:t xml:space="preserve">For Argentina, this dataset is from the 2012-2013 sub-national </w:t>
      </w:r>
      <w:r w:rsidR="00EA3BCB">
        <w:rPr>
          <w:color w:val="1F497D"/>
        </w:rPr>
        <w:t>survey-covering</w:t>
      </w:r>
      <w:r w:rsidR="00F9741E">
        <w:rPr>
          <w:color w:val="1F497D"/>
        </w:rPr>
        <w:t xml:space="preserve"> adults aged 18-70 years. </w:t>
      </w:r>
      <w:r w:rsidR="002F00D8">
        <w:rPr>
          <w:color w:val="1F497D"/>
        </w:rPr>
        <w:t xml:space="preserve">For each </w:t>
      </w:r>
      <w:r w:rsidR="00307908">
        <w:rPr>
          <w:color w:val="1F497D"/>
        </w:rPr>
        <w:t>dataset,</w:t>
      </w:r>
      <w:r w:rsidR="002F00D8">
        <w:rPr>
          <w:color w:val="1F497D"/>
        </w:rPr>
        <w:t xml:space="preserve"> you </w:t>
      </w:r>
      <w:r w:rsidR="00F9741E">
        <w:rPr>
          <w:color w:val="1F497D"/>
        </w:rPr>
        <w:t>can</w:t>
      </w:r>
      <w:r w:rsidR="002F00D8">
        <w:rPr>
          <w:color w:val="1F497D"/>
        </w:rPr>
        <w:t xml:space="preserve"> filter by sex, age, </w:t>
      </w:r>
      <w:r w:rsidR="00F9741E">
        <w:rPr>
          <w:color w:val="1F497D"/>
        </w:rPr>
        <w:t xml:space="preserve">or </w:t>
      </w:r>
      <w:r w:rsidR="002F00D8">
        <w:rPr>
          <w:color w:val="1F497D"/>
        </w:rPr>
        <w:t>type of area</w:t>
      </w:r>
      <w:r w:rsidR="00F9741E">
        <w:rPr>
          <w:color w:val="1F497D"/>
        </w:rPr>
        <w:t>,</w:t>
      </w:r>
      <w:r w:rsidR="002F00D8">
        <w:rPr>
          <w:color w:val="1F497D"/>
        </w:rPr>
        <w:t xml:space="preserve"> according to the information available </w:t>
      </w:r>
      <w:r w:rsidR="00F9741E">
        <w:rPr>
          <w:color w:val="1F497D"/>
        </w:rPr>
        <w:t xml:space="preserve">in </w:t>
      </w:r>
      <w:r w:rsidR="002F00D8">
        <w:rPr>
          <w:color w:val="1F497D"/>
        </w:rPr>
        <w:t>the dataset.</w:t>
      </w:r>
      <w:r w:rsidR="00802B4D">
        <w:rPr>
          <w:color w:val="1F497D"/>
        </w:rPr>
        <w:t xml:space="preserve"> </w:t>
      </w:r>
    </w:p>
    <w:p w14:paraId="5233FFD7" w14:textId="77777777" w:rsidR="007A0F1C" w:rsidRDefault="007A0F1C" w:rsidP="003E4002">
      <w:pPr>
        <w:rPr>
          <w:color w:val="1F497D"/>
        </w:rPr>
      </w:pPr>
      <w:r>
        <w:rPr>
          <w:noProof/>
        </w:rPr>
        <w:drawing>
          <wp:inline distT="0" distB="0" distL="0" distR="0" wp14:anchorId="77E608AF" wp14:editId="4EE81EB4">
            <wp:extent cx="5090160" cy="281481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1452" cy="2843179"/>
                    </a:xfrm>
                    <a:prstGeom prst="rect">
                      <a:avLst/>
                    </a:prstGeom>
                  </pic:spPr>
                </pic:pic>
              </a:graphicData>
            </a:graphic>
          </wp:inline>
        </w:drawing>
      </w:r>
    </w:p>
    <w:p w14:paraId="2FEAB83E" w14:textId="77777777" w:rsidR="007A0F1C" w:rsidRDefault="007A0F1C" w:rsidP="003E4002">
      <w:pPr>
        <w:rPr>
          <w:color w:val="1F497D"/>
        </w:rPr>
      </w:pPr>
    </w:p>
    <w:p w14:paraId="5AAAF3E5" w14:textId="158B82B5" w:rsidR="002F00D8" w:rsidRDefault="002F00D8" w:rsidP="003E4002">
      <w:pPr>
        <w:rPr>
          <w:color w:val="1F497D"/>
        </w:rPr>
      </w:pPr>
      <w:r w:rsidRPr="002F00D8">
        <w:rPr>
          <w:color w:val="1F497D"/>
        </w:rPr>
        <w:t xml:space="preserve">Below the </w:t>
      </w:r>
      <w:r w:rsidR="000F1365" w:rsidRPr="002F00D8">
        <w:rPr>
          <w:color w:val="1F497D"/>
        </w:rPr>
        <w:t>filters</w:t>
      </w:r>
      <w:r w:rsidR="00F9741E">
        <w:rPr>
          <w:color w:val="1F497D"/>
        </w:rPr>
        <w:t xml:space="preserve"> that can be applied to the </w:t>
      </w:r>
      <w:proofErr w:type="gramStart"/>
      <w:r w:rsidR="00F9741E">
        <w:rPr>
          <w:color w:val="1F497D"/>
        </w:rPr>
        <w:t>data</w:t>
      </w:r>
      <w:proofErr w:type="gramEnd"/>
      <w:r w:rsidRPr="002F00D8">
        <w:rPr>
          <w:color w:val="1F497D"/>
        </w:rPr>
        <w:t xml:space="preserve"> </w:t>
      </w:r>
      <w:r w:rsidR="00F9741E">
        <w:rPr>
          <w:color w:val="1F497D"/>
        </w:rPr>
        <w:t xml:space="preserve">you will see </w:t>
      </w:r>
      <w:r w:rsidRPr="002F00D8">
        <w:rPr>
          <w:color w:val="1F497D"/>
        </w:rPr>
        <w:t xml:space="preserve">the indicators section for </w:t>
      </w:r>
      <w:r w:rsidRPr="000F1365">
        <w:rPr>
          <w:i/>
          <w:color w:val="1F497D"/>
        </w:rPr>
        <w:t>Food Consumption, Food Safety and Nutrition</w:t>
      </w:r>
      <w:r w:rsidRPr="002F00D8">
        <w:rPr>
          <w:color w:val="1F497D"/>
        </w:rPr>
        <w:t>.</w:t>
      </w:r>
      <w:r w:rsidR="00F9741E">
        <w:rPr>
          <w:color w:val="1F497D"/>
        </w:rPr>
        <w:t xml:space="preserve"> </w:t>
      </w:r>
      <w:proofErr w:type="gramStart"/>
      <w:r w:rsidR="00F9741E">
        <w:rPr>
          <w:color w:val="1F497D"/>
        </w:rPr>
        <w:t>Let’s</w:t>
      </w:r>
      <w:proofErr w:type="gramEnd"/>
      <w:r w:rsidR="00F9741E">
        <w:rPr>
          <w:color w:val="1F497D"/>
        </w:rPr>
        <w:t xml:space="preserve"> take a look at each </w:t>
      </w:r>
      <w:r w:rsidR="00053732">
        <w:rPr>
          <w:color w:val="1F497D"/>
        </w:rPr>
        <w:t>type of indicator</w:t>
      </w:r>
      <w:r w:rsidR="00F9741E">
        <w:rPr>
          <w:color w:val="1F497D"/>
        </w:rPr>
        <w:t>!</w:t>
      </w:r>
    </w:p>
    <w:p w14:paraId="6B5B7C12" w14:textId="77777777" w:rsidR="00053732" w:rsidRDefault="00053732" w:rsidP="003E4002">
      <w:pPr>
        <w:rPr>
          <w:color w:val="1F497D"/>
        </w:rPr>
      </w:pPr>
    </w:p>
    <w:p w14:paraId="25DDCAE5" w14:textId="77777777" w:rsidR="005E658D" w:rsidRDefault="000F1365" w:rsidP="003E4002">
      <w:pPr>
        <w:rPr>
          <w:color w:val="1F497D"/>
        </w:rPr>
      </w:pPr>
      <w:r>
        <w:rPr>
          <w:color w:val="1F497D"/>
        </w:rPr>
        <w:t xml:space="preserve">For </w:t>
      </w:r>
      <w:r w:rsidRPr="000F1365">
        <w:rPr>
          <w:b/>
          <w:color w:val="1F497D"/>
          <w:u w:val="single"/>
        </w:rPr>
        <w:t>food consumption,</w:t>
      </w:r>
      <w:r>
        <w:rPr>
          <w:color w:val="1F497D"/>
        </w:rPr>
        <w:t xml:space="preserve"> you </w:t>
      </w:r>
      <w:r w:rsidR="00802B4D">
        <w:rPr>
          <w:color w:val="1F497D"/>
        </w:rPr>
        <w:t>can see the average intake of</w:t>
      </w:r>
      <w:r>
        <w:rPr>
          <w:color w:val="1F497D"/>
        </w:rPr>
        <w:t xml:space="preserve"> grams per person</w:t>
      </w:r>
      <w:r w:rsidR="00802B4D">
        <w:rPr>
          <w:color w:val="1F497D"/>
        </w:rPr>
        <w:t xml:space="preserve"> for foods and beverages per day. The size of the bubble within the circle is an indication of the number of grams. </w:t>
      </w:r>
      <w:r w:rsidR="004A38F5">
        <w:rPr>
          <w:color w:val="1F497D"/>
        </w:rPr>
        <w:t>If you click on the bubble you will get more information on the type of food – e</w:t>
      </w:r>
      <w:r w:rsidR="005E658D">
        <w:rPr>
          <w:color w:val="1F497D"/>
        </w:rPr>
        <w:t>.</w:t>
      </w:r>
      <w:r w:rsidR="004A38F5">
        <w:rPr>
          <w:color w:val="1F497D"/>
        </w:rPr>
        <w:t xml:space="preserve">g. </w:t>
      </w:r>
      <w:proofErr w:type="gramStart"/>
      <w:r w:rsidR="004A38F5">
        <w:rPr>
          <w:color w:val="1F497D"/>
        </w:rPr>
        <w:t>Vegetables ,</w:t>
      </w:r>
      <w:proofErr w:type="gramEnd"/>
      <w:r w:rsidR="004A38F5">
        <w:rPr>
          <w:color w:val="1F497D"/>
        </w:rPr>
        <w:t xml:space="preserve"> mostly consumed.</w:t>
      </w:r>
      <w:r w:rsidR="007A0F1C">
        <w:rPr>
          <w:noProof/>
        </w:rPr>
        <w:drawing>
          <wp:inline distT="0" distB="0" distL="0" distR="0" wp14:anchorId="39EEC66B" wp14:editId="6836FC41">
            <wp:extent cx="5326380" cy="3362562"/>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9696" cy="3402534"/>
                    </a:xfrm>
                    <a:prstGeom prst="rect">
                      <a:avLst/>
                    </a:prstGeom>
                  </pic:spPr>
                </pic:pic>
              </a:graphicData>
            </a:graphic>
          </wp:inline>
        </w:drawing>
      </w:r>
    </w:p>
    <w:p w14:paraId="399536DB" w14:textId="5E1D51F3" w:rsidR="000F1365" w:rsidRDefault="000F1365" w:rsidP="003E4002">
      <w:pPr>
        <w:rPr>
          <w:noProof/>
        </w:rPr>
      </w:pPr>
      <w:r>
        <w:rPr>
          <w:color w:val="1F497D"/>
        </w:rPr>
        <w:lastRenderedPageBreak/>
        <w:t xml:space="preserve">For </w:t>
      </w:r>
      <w:r w:rsidRPr="000F1365">
        <w:rPr>
          <w:b/>
          <w:color w:val="1F497D"/>
          <w:u w:val="single"/>
        </w:rPr>
        <w:t>food consumption,</w:t>
      </w:r>
      <w:r>
        <w:rPr>
          <w:color w:val="1F497D"/>
        </w:rPr>
        <w:t xml:space="preserve"> you </w:t>
      </w:r>
      <w:r w:rsidR="00802B4D">
        <w:rPr>
          <w:color w:val="1F497D"/>
        </w:rPr>
        <w:t xml:space="preserve">also </w:t>
      </w:r>
      <w:r>
        <w:rPr>
          <w:color w:val="1F497D"/>
        </w:rPr>
        <w:t xml:space="preserve">have </w:t>
      </w:r>
      <w:r w:rsidR="00802B4D">
        <w:rPr>
          <w:color w:val="1F497D"/>
        </w:rPr>
        <w:t xml:space="preserve">the average </w:t>
      </w:r>
      <w:r>
        <w:rPr>
          <w:color w:val="1F497D"/>
        </w:rPr>
        <w:t>percentage</w:t>
      </w:r>
      <w:r w:rsidR="00802B4D">
        <w:rPr>
          <w:color w:val="1F497D"/>
        </w:rPr>
        <w:t xml:space="preserve"> contribution of different foods to the total consumption</w:t>
      </w:r>
      <w:r w:rsidR="00687F16">
        <w:rPr>
          <w:color w:val="1F497D"/>
        </w:rPr>
        <w:t xml:space="preserve"> in grams. </w:t>
      </w:r>
      <w:r w:rsidR="004A38F5">
        <w:rPr>
          <w:color w:val="1F497D"/>
        </w:rPr>
        <w:t>This helps</w:t>
      </w:r>
      <w:r w:rsidR="00687F16">
        <w:rPr>
          <w:color w:val="1F497D"/>
        </w:rPr>
        <w:t xml:space="preserve"> to show what good groups contribute</w:t>
      </w:r>
      <w:r w:rsidR="004A38F5">
        <w:rPr>
          <w:color w:val="1F497D"/>
        </w:rPr>
        <w:t xml:space="preserve"> to the daily diet. In this example,</w:t>
      </w:r>
      <w:r w:rsidR="00687F16">
        <w:rPr>
          <w:color w:val="1F497D"/>
        </w:rPr>
        <w:t xml:space="preserve"> we see that the grams contributed from the group of sweets and sugars contribute the same as fruits. </w:t>
      </w:r>
    </w:p>
    <w:p w14:paraId="2C6645BA" w14:textId="77777777" w:rsidR="007A0F1C" w:rsidRDefault="007A0F1C" w:rsidP="003E4002">
      <w:pPr>
        <w:rPr>
          <w:color w:val="1F497D"/>
        </w:rPr>
      </w:pPr>
      <w:r>
        <w:rPr>
          <w:noProof/>
        </w:rPr>
        <w:drawing>
          <wp:inline distT="0" distB="0" distL="0" distR="0" wp14:anchorId="3B7257F5" wp14:editId="0E027BA0">
            <wp:extent cx="3863638" cy="330390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6001" cy="3323028"/>
                    </a:xfrm>
                    <a:prstGeom prst="rect">
                      <a:avLst/>
                    </a:prstGeom>
                  </pic:spPr>
                </pic:pic>
              </a:graphicData>
            </a:graphic>
          </wp:inline>
        </w:drawing>
      </w:r>
    </w:p>
    <w:p w14:paraId="6A8DC610" w14:textId="77777777" w:rsidR="007A0F1C" w:rsidRDefault="007A0F1C" w:rsidP="003E4002">
      <w:pPr>
        <w:rPr>
          <w:color w:val="1F497D"/>
        </w:rPr>
      </w:pPr>
    </w:p>
    <w:p w14:paraId="456DDE9A" w14:textId="5A31E165" w:rsidR="000F1365" w:rsidRPr="002F00D8" w:rsidRDefault="000F1365" w:rsidP="000F1365">
      <w:pPr>
        <w:rPr>
          <w:color w:val="1F497D"/>
        </w:rPr>
      </w:pPr>
      <w:r>
        <w:rPr>
          <w:color w:val="1F497D"/>
        </w:rPr>
        <w:t xml:space="preserve">For </w:t>
      </w:r>
      <w:r w:rsidRPr="000F1365">
        <w:rPr>
          <w:b/>
          <w:color w:val="1F497D"/>
          <w:u w:val="single"/>
        </w:rPr>
        <w:t>food consumption,</w:t>
      </w:r>
      <w:r>
        <w:rPr>
          <w:color w:val="1F497D"/>
        </w:rPr>
        <w:t xml:space="preserve"> you have </w:t>
      </w:r>
      <w:r w:rsidR="00687F16">
        <w:rPr>
          <w:color w:val="1F497D"/>
        </w:rPr>
        <w:t xml:space="preserve">also the average daily </w:t>
      </w:r>
      <w:r>
        <w:rPr>
          <w:color w:val="1F497D"/>
        </w:rPr>
        <w:t xml:space="preserve">calories </w:t>
      </w:r>
      <w:r w:rsidR="00687F16">
        <w:rPr>
          <w:color w:val="1F497D"/>
        </w:rPr>
        <w:t xml:space="preserve">consumed </w:t>
      </w:r>
      <w:r>
        <w:rPr>
          <w:color w:val="1F497D"/>
        </w:rPr>
        <w:t>per person.</w:t>
      </w:r>
    </w:p>
    <w:p w14:paraId="37EAAA65" w14:textId="706BCB82" w:rsidR="00687F16" w:rsidRDefault="00687F16" w:rsidP="003E4002">
      <w:pPr>
        <w:rPr>
          <w:color w:val="1F497D"/>
        </w:rPr>
      </w:pPr>
      <w:r>
        <w:rPr>
          <w:color w:val="1F497D"/>
        </w:rPr>
        <w:t xml:space="preserve">Here we see that for the total population, men and women included, the average daily calorie intake is 1847 calories. Note that this is the average for the whole sample. If we had selected only the men or women using the filters at the </w:t>
      </w:r>
      <w:proofErr w:type="gramStart"/>
      <w:r>
        <w:rPr>
          <w:color w:val="1F497D"/>
        </w:rPr>
        <w:t>start</w:t>
      </w:r>
      <w:proofErr w:type="gramEnd"/>
      <w:r>
        <w:rPr>
          <w:color w:val="1F497D"/>
        </w:rPr>
        <w:t xml:space="preserve"> we would see the results by sex. </w:t>
      </w:r>
    </w:p>
    <w:p w14:paraId="35709197" w14:textId="77777777" w:rsidR="004A38F5" w:rsidRDefault="007A0F1C" w:rsidP="003E4002">
      <w:pPr>
        <w:rPr>
          <w:color w:val="1F497D"/>
        </w:rPr>
      </w:pPr>
      <w:r>
        <w:rPr>
          <w:noProof/>
        </w:rPr>
        <w:drawing>
          <wp:inline distT="0" distB="0" distL="0" distR="0" wp14:anchorId="543455CF" wp14:editId="6C61C86A">
            <wp:extent cx="4020365" cy="3299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3794" cy="3310210"/>
                    </a:xfrm>
                    <a:prstGeom prst="rect">
                      <a:avLst/>
                    </a:prstGeom>
                  </pic:spPr>
                </pic:pic>
              </a:graphicData>
            </a:graphic>
          </wp:inline>
        </w:drawing>
      </w:r>
    </w:p>
    <w:p w14:paraId="21648B5B" w14:textId="698EFDE7" w:rsidR="00307908" w:rsidRPr="00307908" w:rsidRDefault="00687F16">
      <w:pPr>
        <w:rPr>
          <w:color w:val="1F497D"/>
        </w:rPr>
      </w:pPr>
      <w:r>
        <w:rPr>
          <w:color w:val="1F497D"/>
        </w:rPr>
        <w:lastRenderedPageBreak/>
        <w:t xml:space="preserve">Now let us look at </w:t>
      </w:r>
      <w:r w:rsidR="004A38F5">
        <w:rPr>
          <w:color w:val="1F497D"/>
        </w:rPr>
        <w:t>the Nutrition</w:t>
      </w:r>
      <w:r w:rsidRPr="004A38F5">
        <w:rPr>
          <w:b/>
          <w:color w:val="1F497D"/>
          <w:u w:val="single"/>
        </w:rPr>
        <w:t xml:space="preserve"> tab</w:t>
      </w:r>
      <w:r>
        <w:rPr>
          <w:color w:val="1F497D"/>
        </w:rPr>
        <w:t>! Here</w:t>
      </w:r>
      <w:r w:rsidR="00307908">
        <w:rPr>
          <w:color w:val="1F497D"/>
        </w:rPr>
        <w:t xml:space="preserve"> you can click on the </w:t>
      </w:r>
      <w:r>
        <w:rPr>
          <w:color w:val="1F497D"/>
        </w:rPr>
        <w:t>tab ‘</w:t>
      </w:r>
      <w:r w:rsidR="00307908">
        <w:rPr>
          <w:color w:val="1F497D"/>
        </w:rPr>
        <w:t>sources of micronutrient in the diet</w:t>
      </w:r>
      <w:r>
        <w:rPr>
          <w:color w:val="1F497D"/>
        </w:rPr>
        <w:t>’</w:t>
      </w:r>
      <w:r w:rsidR="004A38F5">
        <w:rPr>
          <w:color w:val="1F497D"/>
        </w:rPr>
        <w:t xml:space="preserve">. </w:t>
      </w:r>
      <w:r w:rsidR="006D7242">
        <w:rPr>
          <w:color w:val="1F497D"/>
        </w:rPr>
        <w:t xml:space="preserve"> You </w:t>
      </w:r>
      <w:r w:rsidR="004A38F5">
        <w:rPr>
          <w:color w:val="1F497D"/>
        </w:rPr>
        <w:t>can see the average daily</w:t>
      </w:r>
      <w:r w:rsidR="006D7242">
        <w:rPr>
          <w:color w:val="1F497D"/>
        </w:rPr>
        <w:t xml:space="preserve"> intake</w:t>
      </w:r>
      <w:r w:rsidR="004A38F5">
        <w:rPr>
          <w:color w:val="1F497D"/>
        </w:rPr>
        <w:t xml:space="preserve"> and</w:t>
      </w:r>
      <w:r w:rsidR="006D7242">
        <w:rPr>
          <w:color w:val="1F497D"/>
        </w:rPr>
        <w:t xml:space="preserve"> the foods </w:t>
      </w:r>
      <w:r w:rsidR="004A38F5">
        <w:rPr>
          <w:color w:val="1F497D"/>
        </w:rPr>
        <w:t>that are contributing to the micronutrient intake you selected</w:t>
      </w:r>
      <w:r w:rsidR="005E658D">
        <w:rPr>
          <w:color w:val="1F497D"/>
        </w:rPr>
        <w:t xml:space="preserve"> in the diet.</w:t>
      </w:r>
      <w:r w:rsidR="006D7242">
        <w:rPr>
          <w:color w:val="1F497D"/>
        </w:rPr>
        <w:t xml:space="preserve"> </w:t>
      </w:r>
    </w:p>
    <w:p w14:paraId="253B6541" w14:textId="77777777" w:rsidR="004A38F5" w:rsidRDefault="00644FF1">
      <w:r>
        <w:rPr>
          <w:noProof/>
        </w:rPr>
        <w:drawing>
          <wp:inline distT="0" distB="0" distL="0" distR="0" wp14:anchorId="13DAE6D2" wp14:editId="4FD5CC0C">
            <wp:extent cx="5183028" cy="3665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7789" cy="3668587"/>
                    </a:xfrm>
                    <a:prstGeom prst="rect">
                      <a:avLst/>
                    </a:prstGeom>
                  </pic:spPr>
                </pic:pic>
              </a:graphicData>
            </a:graphic>
          </wp:inline>
        </w:drawing>
      </w:r>
    </w:p>
    <w:p w14:paraId="59CDAB5A" w14:textId="3E44CB73" w:rsidR="00307908" w:rsidRPr="004A38F5" w:rsidRDefault="006D7242">
      <w:r>
        <w:rPr>
          <w:color w:val="1F497D"/>
        </w:rPr>
        <w:t>Likewise, y</w:t>
      </w:r>
      <w:r w:rsidR="00307908">
        <w:rPr>
          <w:color w:val="1F497D"/>
        </w:rPr>
        <w:t>ou can click on the sources of macronutrient</w:t>
      </w:r>
      <w:r w:rsidR="005E658D">
        <w:rPr>
          <w:color w:val="1F497D"/>
        </w:rPr>
        <w:t>s</w:t>
      </w:r>
      <w:r w:rsidR="00307908">
        <w:rPr>
          <w:color w:val="1F497D"/>
        </w:rPr>
        <w:t xml:space="preserve"> in the diet</w:t>
      </w:r>
      <w:r>
        <w:rPr>
          <w:color w:val="1F497D"/>
        </w:rPr>
        <w:t>, and again select a nutrient – carbohydrate for example- to see the sources of carbohydrate in the diet</w:t>
      </w:r>
      <w:r w:rsidR="005E658D">
        <w:rPr>
          <w:color w:val="1F497D"/>
        </w:rPr>
        <w:t>.</w:t>
      </w:r>
      <w:r>
        <w:rPr>
          <w:color w:val="1F497D"/>
        </w:rPr>
        <w:t xml:space="preserve"> </w:t>
      </w:r>
      <w:r w:rsidR="00307908">
        <w:rPr>
          <w:color w:val="1F497D"/>
        </w:rPr>
        <w:t xml:space="preserve"> </w:t>
      </w:r>
    </w:p>
    <w:p w14:paraId="4233717D" w14:textId="77777777" w:rsidR="00644FF1" w:rsidRDefault="00644FF1">
      <w:r>
        <w:rPr>
          <w:noProof/>
        </w:rPr>
        <w:drawing>
          <wp:inline distT="0" distB="0" distL="0" distR="0" wp14:anchorId="5801C651" wp14:editId="57220916">
            <wp:extent cx="4926897" cy="35356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9722" cy="3537708"/>
                    </a:xfrm>
                    <a:prstGeom prst="rect">
                      <a:avLst/>
                    </a:prstGeom>
                  </pic:spPr>
                </pic:pic>
              </a:graphicData>
            </a:graphic>
          </wp:inline>
        </w:drawing>
      </w:r>
    </w:p>
    <w:p w14:paraId="3109DEA7" w14:textId="4C5B8F00" w:rsidR="00C37337" w:rsidRDefault="005E658D">
      <w:pPr>
        <w:rPr>
          <w:color w:val="1F497D"/>
        </w:rPr>
      </w:pPr>
      <w:r>
        <w:rPr>
          <w:color w:val="1F497D"/>
        </w:rPr>
        <w:lastRenderedPageBreak/>
        <w:t>Y</w:t>
      </w:r>
      <w:r w:rsidR="006D7242">
        <w:rPr>
          <w:color w:val="1F497D"/>
        </w:rPr>
        <w:t>ou can click on the tab ‘</w:t>
      </w:r>
      <w:r w:rsidR="00307908">
        <w:rPr>
          <w:color w:val="1F497D"/>
        </w:rPr>
        <w:t>macronutrient contribution to total energy intake</w:t>
      </w:r>
      <w:r w:rsidR="006D7242">
        <w:rPr>
          <w:color w:val="1F497D"/>
        </w:rPr>
        <w:t xml:space="preserve">’ to see the macronutrient contributions. Here we can also compare the intakes to recommendations. </w:t>
      </w:r>
      <w:r w:rsidR="00307908">
        <w:rPr>
          <w:color w:val="1F497D"/>
        </w:rPr>
        <w:t xml:space="preserve"> </w:t>
      </w:r>
      <w:r w:rsidR="00644FF1">
        <w:rPr>
          <w:noProof/>
        </w:rPr>
        <w:drawing>
          <wp:inline distT="0" distB="0" distL="0" distR="0" wp14:anchorId="4FC36DE7" wp14:editId="175C19C0">
            <wp:extent cx="5943600" cy="3744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44595"/>
                    </a:xfrm>
                    <a:prstGeom prst="rect">
                      <a:avLst/>
                    </a:prstGeom>
                  </pic:spPr>
                </pic:pic>
              </a:graphicData>
            </a:graphic>
          </wp:inline>
        </w:drawing>
      </w:r>
    </w:p>
    <w:p w14:paraId="785F790E" w14:textId="01B3FF02" w:rsidR="005E658D" w:rsidRDefault="005E658D"/>
    <w:p w14:paraId="164FEAA7" w14:textId="1627D2E6" w:rsidR="005E658D" w:rsidRDefault="005E658D" w:rsidP="005E658D">
      <w:pPr>
        <w:rPr>
          <w:color w:val="1F497D"/>
        </w:rPr>
      </w:pPr>
      <w:r>
        <w:rPr>
          <w:color w:val="1F497D"/>
        </w:rPr>
        <w:t xml:space="preserve">Finally, if you click the tab for </w:t>
      </w:r>
      <w:r w:rsidRPr="000F1365">
        <w:rPr>
          <w:b/>
          <w:color w:val="1F497D"/>
          <w:u w:val="single"/>
        </w:rPr>
        <w:t xml:space="preserve">food </w:t>
      </w:r>
      <w:r>
        <w:rPr>
          <w:b/>
          <w:color w:val="1F497D"/>
          <w:u w:val="single"/>
        </w:rPr>
        <w:t>safety</w:t>
      </w:r>
      <w:r w:rsidRPr="000F1365">
        <w:rPr>
          <w:b/>
          <w:color w:val="1F497D"/>
          <w:u w:val="single"/>
        </w:rPr>
        <w:t>,</w:t>
      </w:r>
      <w:r>
        <w:rPr>
          <w:color w:val="1F497D"/>
        </w:rPr>
        <w:t xml:space="preserve"> you are able to see the extremes in the intakes – so we can look at the very high consumers of certain food groups, which is informative for food safety to understand potential risks. </w:t>
      </w:r>
    </w:p>
    <w:p w14:paraId="12E9C836" w14:textId="77777777" w:rsidR="005E658D" w:rsidRDefault="005E658D" w:rsidP="005E658D">
      <w:pPr>
        <w:rPr>
          <w:color w:val="1F497D"/>
        </w:rPr>
      </w:pPr>
      <w:r>
        <w:rPr>
          <w:noProof/>
        </w:rPr>
        <w:drawing>
          <wp:inline distT="0" distB="0" distL="0" distR="0" wp14:anchorId="2DB2744B" wp14:editId="32242F53">
            <wp:extent cx="4360110" cy="3139186"/>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1173" cy="3147151"/>
                    </a:xfrm>
                    <a:prstGeom prst="rect">
                      <a:avLst/>
                    </a:prstGeom>
                  </pic:spPr>
                </pic:pic>
              </a:graphicData>
            </a:graphic>
          </wp:inline>
        </w:drawing>
      </w:r>
    </w:p>
    <w:p w14:paraId="714A9902" w14:textId="77777777" w:rsidR="005E658D" w:rsidRDefault="005E658D"/>
    <w:sectPr w:rsidR="005E65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002"/>
    <w:rsid w:val="00053732"/>
    <w:rsid w:val="000F1365"/>
    <w:rsid w:val="0013337C"/>
    <w:rsid w:val="002F00D8"/>
    <w:rsid w:val="00307908"/>
    <w:rsid w:val="003E4002"/>
    <w:rsid w:val="00467762"/>
    <w:rsid w:val="004A38F5"/>
    <w:rsid w:val="004E3FE2"/>
    <w:rsid w:val="004F2541"/>
    <w:rsid w:val="005E658D"/>
    <w:rsid w:val="00644FF1"/>
    <w:rsid w:val="00687F16"/>
    <w:rsid w:val="006D7242"/>
    <w:rsid w:val="007A0F1C"/>
    <w:rsid w:val="00802B4D"/>
    <w:rsid w:val="008F6F8C"/>
    <w:rsid w:val="00AA0D66"/>
    <w:rsid w:val="00BD7A54"/>
    <w:rsid w:val="00C37337"/>
    <w:rsid w:val="00CF17B6"/>
    <w:rsid w:val="00EA3BCB"/>
    <w:rsid w:val="00EC3C20"/>
    <w:rsid w:val="00F97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E640"/>
  <w15:chartTrackingRefBased/>
  <w15:docId w15:val="{4AF7089F-70C3-4F6E-8E39-D8A7B9A0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002"/>
    <w:pPr>
      <w:spacing w:after="0" w:line="240" w:lineRule="auto"/>
    </w:pPr>
    <w:rPr>
      <w:rFonts w:ascii="Calibri" w:hAnsi="Calibri" w:cs="Calibri"/>
    </w:rPr>
  </w:style>
  <w:style w:type="paragraph" w:styleId="Heading1">
    <w:name w:val="heading 1"/>
    <w:basedOn w:val="Normal"/>
    <w:next w:val="Normal"/>
    <w:link w:val="Heading1Char"/>
    <w:uiPriority w:val="9"/>
    <w:qFormat/>
    <w:rsid w:val="004E3F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E3FE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3FE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4E3FE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E3FE2"/>
    <w:rPr>
      <w:color w:val="0563C1" w:themeColor="hyperlink"/>
      <w:u w:val="single"/>
    </w:rPr>
  </w:style>
  <w:style w:type="character" w:styleId="CommentReference">
    <w:name w:val="annotation reference"/>
    <w:basedOn w:val="DefaultParagraphFont"/>
    <w:uiPriority w:val="99"/>
    <w:semiHidden/>
    <w:unhideWhenUsed/>
    <w:rsid w:val="00F9741E"/>
    <w:rPr>
      <w:sz w:val="16"/>
      <w:szCs w:val="16"/>
    </w:rPr>
  </w:style>
  <w:style w:type="paragraph" w:styleId="CommentText">
    <w:name w:val="annotation text"/>
    <w:basedOn w:val="Normal"/>
    <w:link w:val="CommentTextChar"/>
    <w:uiPriority w:val="99"/>
    <w:semiHidden/>
    <w:unhideWhenUsed/>
    <w:rsid w:val="00F9741E"/>
    <w:rPr>
      <w:sz w:val="20"/>
      <w:szCs w:val="20"/>
    </w:rPr>
  </w:style>
  <w:style w:type="character" w:customStyle="1" w:styleId="CommentTextChar">
    <w:name w:val="Comment Text Char"/>
    <w:basedOn w:val="DefaultParagraphFont"/>
    <w:link w:val="CommentText"/>
    <w:uiPriority w:val="99"/>
    <w:semiHidden/>
    <w:rsid w:val="00F9741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9741E"/>
    <w:rPr>
      <w:b/>
      <w:bCs/>
    </w:rPr>
  </w:style>
  <w:style w:type="character" w:customStyle="1" w:styleId="CommentSubjectChar">
    <w:name w:val="Comment Subject Char"/>
    <w:basedOn w:val="CommentTextChar"/>
    <w:link w:val="CommentSubject"/>
    <w:uiPriority w:val="99"/>
    <w:semiHidden/>
    <w:rsid w:val="00F9741E"/>
    <w:rPr>
      <w:rFonts w:ascii="Calibri" w:hAnsi="Calibri" w:cs="Calibri"/>
      <w:b/>
      <w:bCs/>
      <w:sz w:val="20"/>
      <w:szCs w:val="20"/>
    </w:rPr>
  </w:style>
  <w:style w:type="paragraph" w:styleId="BalloonText">
    <w:name w:val="Balloon Text"/>
    <w:basedOn w:val="Normal"/>
    <w:link w:val="BalloonTextChar"/>
    <w:uiPriority w:val="99"/>
    <w:semiHidden/>
    <w:unhideWhenUsed/>
    <w:rsid w:val="00F974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4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2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fao.org/gift-individual-food-consumption/data-and-indicator/en/"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www.fao.org/gift-individual-food-consumption/en/"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Bevere, Teresa (ESN)</dc:creator>
  <cp:keywords/>
  <dc:description/>
  <cp:lastModifiedBy>Bevere, Teresa (ESN)</cp:lastModifiedBy>
  <cp:revision>2</cp:revision>
  <dcterms:created xsi:type="dcterms:W3CDTF">2021-06-04T12:45:00Z</dcterms:created>
  <dcterms:modified xsi:type="dcterms:W3CDTF">2021-06-04T12:45:00Z</dcterms:modified>
</cp:coreProperties>
</file>